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82" w:rsidRDefault="00F63E82" w:rsidP="00CD553C">
      <w:pPr>
        <w:jc w:val="center"/>
        <w:rPr>
          <w:rFonts w:ascii="Century Gothic" w:hAnsi="Century Gothic"/>
          <w:sz w:val="24"/>
          <w:szCs w:val="24"/>
        </w:rPr>
      </w:pPr>
    </w:p>
    <w:p w:rsidR="00F63E82" w:rsidRDefault="00F63E82" w:rsidP="00CD553C">
      <w:pPr>
        <w:jc w:val="center"/>
        <w:rPr>
          <w:rFonts w:ascii="Century Gothic" w:hAnsi="Century Gothic"/>
          <w:sz w:val="24"/>
          <w:szCs w:val="24"/>
        </w:rPr>
      </w:pPr>
    </w:p>
    <w:p w:rsidR="00D464AB" w:rsidRDefault="00D464AB" w:rsidP="00CD553C">
      <w:pPr>
        <w:jc w:val="center"/>
        <w:rPr>
          <w:rFonts w:ascii="Century Gothic" w:hAnsi="Century Gothic"/>
          <w:sz w:val="24"/>
          <w:szCs w:val="24"/>
          <w:highlight w:val="yellow"/>
        </w:rPr>
      </w:pPr>
      <w:r w:rsidRPr="00B46D3F">
        <w:rPr>
          <w:noProof/>
        </w:rPr>
        <w:drawing>
          <wp:anchor distT="0" distB="0" distL="114300" distR="114300" simplePos="0" relativeHeight="251659264" behindDoc="0" locked="0" layoutInCell="1" allowOverlap="1" wp14:anchorId="7C2BF5D4" wp14:editId="3D82CC96">
            <wp:simplePos x="0" y="0"/>
            <wp:positionH relativeFrom="column">
              <wp:posOffset>1568450</wp:posOffset>
            </wp:positionH>
            <wp:positionV relativeFrom="paragraph">
              <wp:posOffset>-696595</wp:posOffset>
            </wp:positionV>
            <wp:extent cx="2162810" cy="1344295"/>
            <wp:effectExtent l="0" t="0" r="889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4AB" w:rsidRDefault="00D464AB" w:rsidP="00CD553C">
      <w:pPr>
        <w:jc w:val="center"/>
        <w:rPr>
          <w:rFonts w:ascii="Century Gothic" w:hAnsi="Century Gothic"/>
          <w:sz w:val="24"/>
          <w:szCs w:val="24"/>
          <w:highlight w:val="yellow"/>
        </w:rPr>
      </w:pPr>
    </w:p>
    <w:p w:rsidR="00CD553C" w:rsidRPr="00D464AB" w:rsidRDefault="00D464AB" w:rsidP="00CD553C">
      <w:pPr>
        <w:jc w:val="center"/>
        <w:rPr>
          <w:rFonts w:ascii="Century Gothic" w:hAnsi="Century Gothic"/>
          <w:b/>
          <w:sz w:val="24"/>
          <w:szCs w:val="24"/>
        </w:rPr>
      </w:pPr>
      <w:r w:rsidRPr="00D464AB">
        <w:rPr>
          <w:rFonts w:ascii="Century Gothic" w:hAnsi="Century Gothic"/>
          <w:b/>
          <w:sz w:val="24"/>
          <w:szCs w:val="24"/>
          <w:highlight w:val="lightGray"/>
        </w:rPr>
        <w:t>REQUEST FOR DETAILED WRITTEN QUOTATIONS</w:t>
      </w:r>
    </w:p>
    <w:p w:rsidR="00C55517" w:rsidRDefault="00D464AB" w:rsidP="00C5551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Inkosi Langalibalele Local</w:t>
      </w:r>
      <w:r w:rsidR="00C55517">
        <w:rPr>
          <w:rFonts w:ascii="Century Gothic" w:hAnsi="Century Gothic"/>
          <w:sz w:val="24"/>
          <w:szCs w:val="24"/>
        </w:rPr>
        <w:t xml:space="preserve"> Municipality wishes to migrate towards implementing</w:t>
      </w:r>
      <w:r w:rsidR="00C55517" w:rsidRPr="00260CBC">
        <w:rPr>
          <w:rFonts w:ascii="Century Gothic" w:hAnsi="Century Gothic"/>
          <w:sz w:val="24"/>
          <w:szCs w:val="24"/>
        </w:rPr>
        <w:t xml:space="preserve"> </w:t>
      </w:r>
      <w:r w:rsidR="00C55517">
        <w:rPr>
          <w:rFonts w:ascii="Century Gothic" w:hAnsi="Century Gothic"/>
          <w:sz w:val="24"/>
          <w:szCs w:val="24"/>
        </w:rPr>
        <w:t xml:space="preserve">an </w:t>
      </w:r>
      <w:r w:rsidR="00C55517" w:rsidRPr="00260CBC">
        <w:rPr>
          <w:rFonts w:ascii="Century Gothic" w:hAnsi="Century Gothic"/>
          <w:sz w:val="24"/>
          <w:szCs w:val="24"/>
        </w:rPr>
        <w:t xml:space="preserve">Electronic Document and Records Management System (EDRMS) or Enterprise Content Management (ECM) system, partly in compliance </w:t>
      </w:r>
      <w:r w:rsidR="00C55517">
        <w:rPr>
          <w:rFonts w:ascii="Century Gothic" w:hAnsi="Century Gothic"/>
          <w:sz w:val="24"/>
          <w:szCs w:val="24"/>
        </w:rPr>
        <w:t>with</w:t>
      </w:r>
      <w:r w:rsidR="00C55517" w:rsidRPr="00260CBC">
        <w:rPr>
          <w:rFonts w:ascii="Century Gothic" w:hAnsi="Century Gothic"/>
          <w:sz w:val="24"/>
          <w:szCs w:val="24"/>
        </w:rPr>
        <w:t xml:space="preserve"> National and Provincial Archives requirements.  Before purchasing the software</w:t>
      </w:r>
      <w:r w:rsidR="00C55517">
        <w:rPr>
          <w:rFonts w:ascii="Century Gothic" w:hAnsi="Century Gothic"/>
          <w:sz w:val="24"/>
          <w:szCs w:val="24"/>
        </w:rPr>
        <w:t>, the Municipalit</w:t>
      </w:r>
      <w:r w:rsidR="00686903">
        <w:rPr>
          <w:rFonts w:ascii="Century Gothic" w:hAnsi="Century Gothic"/>
          <w:sz w:val="24"/>
          <w:szCs w:val="24"/>
        </w:rPr>
        <w:t>y</w:t>
      </w:r>
      <w:r w:rsidR="00C55517">
        <w:rPr>
          <w:rFonts w:ascii="Century Gothic" w:hAnsi="Century Gothic"/>
          <w:sz w:val="24"/>
          <w:szCs w:val="24"/>
        </w:rPr>
        <w:t xml:space="preserve"> need</w:t>
      </w:r>
      <w:r w:rsidR="00C55517" w:rsidRPr="00260CBC">
        <w:rPr>
          <w:rFonts w:ascii="Century Gothic" w:hAnsi="Century Gothic"/>
          <w:sz w:val="24"/>
          <w:szCs w:val="24"/>
        </w:rPr>
        <w:t xml:space="preserve"> to embark on a formal process to increase the chances of a successful implementation.  </w:t>
      </w:r>
    </w:p>
    <w:p w:rsidR="00C55517" w:rsidRPr="00C91F36" w:rsidRDefault="00C55517" w:rsidP="00C55517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24"/>
          <w:szCs w:val="24"/>
          <w:lang w:val="en-US"/>
        </w:rPr>
      </w:pPr>
    </w:p>
    <w:p w:rsidR="00C55517" w:rsidRDefault="00C55517" w:rsidP="00C5551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Pr="00260CBC">
        <w:rPr>
          <w:rFonts w:ascii="Century Gothic" w:hAnsi="Century Gothic"/>
          <w:sz w:val="24"/>
          <w:szCs w:val="24"/>
        </w:rPr>
        <w:t xml:space="preserve">mplementing a successful Enterprise Content Management </w:t>
      </w:r>
      <w:r>
        <w:rPr>
          <w:rFonts w:ascii="Century Gothic" w:hAnsi="Century Gothic"/>
          <w:sz w:val="24"/>
          <w:szCs w:val="24"/>
        </w:rPr>
        <w:t xml:space="preserve">system </w:t>
      </w:r>
      <w:r w:rsidRPr="00260CBC">
        <w:rPr>
          <w:rFonts w:ascii="Century Gothic" w:hAnsi="Century Gothic"/>
          <w:sz w:val="24"/>
          <w:szCs w:val="24"/>
        </w:rPr>
        <w:t xml:space="preserve">depends on several factors, and following a strict methodology.  Failure to do so may result in a waste of money, time and effort.  To reduce these risks, </w:t>
      </w:r>
      <w:r>
        <w:rPr>
          <w:rFonts w:ascii="Century Gothic" w:hAnsi="Century Gothic"/>
          <w:sz w:val="24"/>
          <w:szCs w:val="24"/>
        </w:rPr>
        <w:t>the Municipality wishes to procure the services of a service provider</w:t>
      </w:r>
      <w:r w:rsidRPr="00260CBC">
        <w:rPr>
          <w:rFonts w:ascii="Century Gothic" w:hAnsi="Century Gothic"/>
          <w:sz w:val="24"/>
          <w:szCs w:val="24"/>
        </w:rPr>
        <w:t xml:space="preserve"> who can assist with the </w:t>
      </w:r>
      <w:r>
        <w:rPr>
          <w:rFonts w:ascii="Century Gothic" w:hAnsi="Century Gothic"/>
          <w:sz w:val="24"/>
          <w:szCs w:val="24"/>
        </w:rPr>
        <w:t>process of selection, procurement and implementing an EDRMS/ECM System.  As a first Phase, the consultant will determine the readiness of the Municipality to implement an EDRMS/ECM system</w:t>
      </w:r>
      <w:r w:rsidRPr="00260CBC">
        <w:rPr>
          <w:rFonts w:ascii="Century Gothic" w:hAnsi="Century Gothic"/>
          <w:sz w:val="24"/>
          <w:szCs w:val="24"/>
        </w:rPr>
        <w:t xml:space="preserve">.  </w:t>
      </w:r>
    </w:p>
    <w:p w:rsidR="00C55517" w:rsidRPr="00CD553C" w:rsidRDefault="00D464AB" w:rsidP="00C55517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MINIMUM CRITERIA</w:t>
      </w:r>
    </w:p>
    <w:p w:rsidR="00C55517" w:rsidRPr="00CD553C" w:rsidRDefault="00D464AB" w:rsidP="00C5551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prospective</w:t>
      </w:r>
      <w:r w:rsidR="00C55517" w:rsidRPr="00CD553C">
        <w:rPr>
          <w:rFonts w:ascii="Century Gothic" w:hAnsi="Century Gothic"/>
          <w:sz w:val="24"/>
          <w:szCs w:val="24"/>
        </w:rPr>
        <w:t xml:space="preserve"> must:</w:t>
      </w:r>
    </w:p>
    <w:p w:rsidR="00C55517" w:rsidRPr="00CD553C" w:rsidRDefault="00C55517" w:rsidP="00C5551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D553C">
        <w:rPr>
          <w:rFonts w:ascii="Century Gothic" w:hAnsi="Century Gothic"/>
          <w:sz w:val="24"/>
          <w:szCs w:val="24"/>
        </w:rPr>
        <w:t>Be able to prove experience in similar initiatives</w:t>
      </w:r>
    </w:p>
    <w:p w:rsidR="00C55517" w:rsidRPr="00CD553C" w:rsidRDefault="00C55517" w:rsidP="00C5551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D553C">
        <w:rPr>
          <w:rFonts w:ascii="Century Gothic" w:hAnsi="Century Gothic"/>
          <w:sz w:val="24"/>
          <w:szCs w:val="24"/>
        </w:rPr>
        <w:t>Have detailed knowledge of applicable international and local standards and best practices in document and records management</w:t>
      </w:r>
    </w:p>
    <w:p w:rsidR="00C55517" w:rsidRPr="00CD553C" w:rsidRDefault="00C55517" w:rsidP="00C5551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D553C">
        <w:rPr>
          <w:rFonts w:ascii="Century Gothic" w:hAnsi="Century Gothic"/>
          <w:sz w:val="24"/>
          <w:szCs w:val="24"/>
        </w:rPr>
        <w:t>Be familiar with National and Provincial Archives Document and Records Management requirements</w:t>
      </w:r>
    </w:p>
    <w:p w:rsidR="00C55517" w:rsidRPr="00CD553C" w:rsidRDefault="00C55517" w:rsidP="00C5551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CD553C">
        <w:rPr>
          <w:rFonts w:ascii="Century Gothic" w:hAnsi="Century Gothic"/>
          <w:sz w:val="24"/>
          <w:szCs w:val="24"/>
        </w:rPr>
        <w:t>Be recognised by National and Provincial Archives and Records Services as a qualified Service Provider in document and records management</w:t>
      </w:r>
    </w:p>
    <w:p w:rsidR="00C55517" w:rsidRPr="00260CBC" w:rsidRDefault="00C55517" w:rsidP="00C55517">
      <w:pPr>
        <w:pStyle w:val="ListParagraph"/>
        <w:ind w:left="1080"/>
        <w:jc w:val="both"/>
        <w:rPr>
          <w:rFonts w:ascii="Century Gothic" w:hAnsi="Century Gothic"/>
          <w:sz w:val="24"/>
          <w:szCs w:val="24"/>
        </w:rPr>
      </w:pPr>
    </w:p>
    <w:p w:rsidR="00C55517" w:rsidRPr="00F26B45" w:rsidRDefault="00C55517" w:rsidP="00C55517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DELIVERABLES / OUTPUTS</w:t>
      </w:r>
    </w:p>
    <w:p w:rsidR="00C55517" w:rsidRDefault="00C55517" w:rsidP="00C55517">
      <w:pPr>
        <w:jc w:val="both"/>
        <w:rPr>
          <w:rFonts w:ascii="Century Gothic" w:hAnsi="Century Gothic"/>
          <w:sz w:val="24"/>
          <w:szCs w:val="24"/>
        </w:rPr>
      </w:pPr>
      <w:r w:rsidRPr="00260CBC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Municipality will appoint a suitable service provider to determine its state of readiness to move towards the successful implementation of an Electronic Document and Records Management System. </w:t>
      </w:r>
    </w:p>
    <w:p w:rsidR="00C55517" w:rsidRPr="00260CBC" w:rsidRDefault="00C55517" w:rsidP="00C5551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service provider</w:t>
      </w:r>
      <w:r w:rsidRPr="00260CBC">
        <w:rPr>
          <w:rFonts w:ascii="Century Gothic" w:hAnsi="Century Gothic"/>
          <w:sz w:val="24"/>
          <w:szCs w:val="24"/>
        </w:rPr>
        <w:t xml:space="preserve"> should be able to guide and assist the municipality in the following processes:</w:t>
      </w:r>
    </w:p>
    <w:p w:rsidR="00C55517" w:rsidRDefault="00C55517" w:rsidP="00C5551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 xml:space="preserve">Undertake a risk and readiness analysis of the current environment, including undertaking an environmental scan of the </w:t>
      </w:r>
      <w:r>
        <w:rPr>
          <w:rFonts w:ascii="Century Gothic" w:hAnsi="Century Gothic"/>
          <w:sz w:val="24"/>
          <w:szCs w:val="24"/>
          <w:lang w:val="en-US"/>
        </w:rPr>
        <w:t>M</w:t>
      </w:r>
      <w:r w:rsidRPr="00260CBC">
        <w:rPr>
          <w:rFonts w:ascii="Century Gothic" w:hAnsi="Century Gothic"/>
          <w:sz w:val="24"/>
          <w:szCs w:val="24"/>
          <w:lang w:val="en-US"/>
        </w:rPr>
        <w:t>unicipality, including IT skills infrastructure, audit and training requirement</w:t>
      </w:r>
      <w:r>
        <w:rPr>
          <w:rFonts w:ascii="Century Gothic" w:hAnsi="Century Gothic"/>
          <w:sz w:val="24"/>
          <w:szCs w:val="24"/>
          <w:lang w:val="en-US"/>
        </w:rPr>
        <w:t>s, and prepare a state of readiness report</w:t>
      </w:r>
      <w:r w:rsidRPr="00260CBC">
        <w:rPr>
          <w:rFonts w:ascii="Century Gothic" w:hAnsi="Century Gothic"/>
          <w:sz w:val="24"/>
          <w:szCs w:val="24"/>
          <w:lang w:val="en-US"/>
        </w:rPr>
        <w:t xml:space="preserve">.  </w:t>
      </w:r>
    </w:p>
    <w:p w:rsidR="00C55517" w:rsidRPr="00260CBC" w:rsidRDefault="00C55517" w:rsidP="00C55517">
      <w:pPr>
        <w:pStyle w:val="ListParagraph"/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This will include: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Technical architecture (e.g. desired EDRMS topology)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 xml:space="preserve">Standard operating environment of the </w:t>
      </w:r>
      <w:r>
        <w:rPr>
          <w:rFonts w:ascii="Century Gothic" w:hAnsi="Century Gothic"/>
          <w:sz w:val="24"/>
          <w:szCs w:val="24"/>
          <w:lang w:val="en-US"/>
        </w:rPr>
        <w:t>M</w:t>
      </w:r>
      <w:r w:rsidRPr="00260CBC">
        <w:rPr>
          <w:rFonts w:ascii="Century Gothic" w:hAnsi="Century Gothic"/>
          <w:sz w:val="24"/>
          <w:szCs w:val="24"/>
          <w:lang w:val="en-US"/>
        </w:rPr>
        <w:t>unicipality’s computers (e.g. capacity of existing desktop computers, servers and network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Impact on existing software solutions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 xml:space="preserve">Database, software application and web servers (particularly important if the </w:t>
      </w:r>
      <w:r>
        <w:rPr>
          <w:rFonts w:ascii="Century Gothic" w:hAnsi="Century Gothic"/>
          <w:sz w:val="24"/>
          <w:szCs w:val="24"/>
          <w:lang w:val="en-US"/>
        </w:rPr>
        <w:t>M</w:t>
      </w:r>
      <w:r w:rsidRPr="00260CBC">
        <w:rPr>
          <w:rFonts w:ascii="Century Gothic" w:hAnsi="Century Gothic"/>
          <w:sz w:val="24"/>
          <w:szCs w:val="24"/>
          <w:lang w:val="en-US"/>
        </w:rPr>
        <w:t>unicipality operates over several geographically distributed sites)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Storage systems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Local and wide area networks, including bandwidth capacity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Remote facilities such as 3G availability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Printers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Document scanners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Barcode readers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Telecommunication services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Backup media, offsite storage, recovery and housekeeping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Replication requirements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Security facilities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Application programming interfaces kits and scripts for systems integration facilities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Viewers for interpreting and displaying images/files in the correct format for online screen viewing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Helpdesk and technical consulting support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Integration requirements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Available IT support</w:t>
      </w:r>
    </w:p>
    <w:p w:rsidR="00C55517" w:rsidRPr="00260CBC" w:rsidRDefault="00C55517" w:rsidP="00C5551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Develop an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260CBC">
        <w:rPr>
          <w:rFonts w:ascii="Century Gothic" w:hAnsi="Century Gothic"/>
          <w:sz w:val="24"/>
          <w:szCs w:val="24"/>
          <w:lang w:val="en-US"/>
        </w:rPr>
        <w:t>EDRMS functio</w:t>
      </w:r>
      <w:r>
        <w:rPr>
          <w:rFonts w:ascii="Century Gothic" w:hAnsi="Century Gothic"/>
          <w:sz w:val="24"/>
          <w:szCs w:val="24"/>
          <w:lang w:val="en-US"/>
        </w:rPr>
        <w:t>nal and technical specification</w:t>
      </w:r>
      <w:r w:rsidRPr="00260CBC">
        <w:rPr>
          <w:rFonts w:ascii="Century Gothic" w:hAnsi="Century Gothic"/>
          <w:sz w:val="24"/>
          <w:szCs w:val="24"/>
          <w:lang w:val="en-US"/>
        </w:rPr>
        <w:t xml:space="preserve"> specific to the </w:t>
      </w:r>
      <w:r>
        <w:rPr>
          <w:rFonts w:ascii="Century Gothic" w:hAnsi="Century Gothic"/>
          <w:sz w:val="24"/>
          <w:szCs w:val="24"/>
          <w:lang w:val="en-US"/>
        </w:rPr>
        <w:t>M</w:t>
      </w:r>
      <w:r w:rsidRPr="00260CBC">
        <w:rPr>
          <w:rFonts w:ascii="Century Gothic" w:hAnsi="Century Gothic"/>
          <w:sz w:val="24"/>
          <w:szCs w:val="24"/>
          <w:lang w:val="en-US"/>
        </w:rPr>
        <w:t>unicipality, and considering: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Usability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Price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Ability to integrate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Technical compatibility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Ability to configure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Customization requirements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All functional requirements</w:t>
      </w:r>
    </w:p>
    <w:p w:rsidR="00C55517" w:rsidRPr="00260CBC" w:rsidRDefault="00C55517" w:rsidP="00C5551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260CBC">
        <w:rPr>
          <w:rFonts w:ascii="Century Gothic" w:hAnsi="Century Gothic"/>
          <w:sz w:val="24"/>
          <w:szCs w:val="24"/>
          <w:lang w:val="en-US"/>
        </w:rPr>
        <w:t>Compatibility of project personnel and methodology with municipality culture.</w:t>
      </w:r>
    </w:p>
    <w:p w:rsidR="00C55517" w:rsidRDefault="00C55517" w:rsidP="00C555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Provide close-out report that will detail:</w:t>
      </w:r>
    </w:p>
    <w:p w:rsidR="00C55517" w:rsidRDefault="00C55517" w:rsidP="00C55517">
      <w:pPr>
        <w:pStyle w:val="ListParagraph"/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(A) The findings of the exercise including, but not limited to, </w:t>
      </w:r>
    </w:p>
    <w:p w:rsidR="00C55517" w:rsidRDefault="00C55517" w:rsidP="00C555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8C3ACC">
        <w:rPr>
          <w:rFonts w:ascii="Century Gothic" w:eastAsia="Times New Roman" w:hAnsi="Century Gothic" w:cs="Arial"/>
          <w:sz w:val="24"/>
          <w:szCs w:val="24"/>
        </w:rPr>
        <w:t>the need for and current state of policies, procedures, metadata requirements, file plans, and other instruments required in terms of Provincial Archives and Reco</w:t>
      </w:r>
      <w:r>
        <w:rPr>
          <w:rFonts w:ascii="Century Gothic" w:eastAsia="Times New Roman" w:hAnsi="Century Gothic" w:cs="Arial"/>
          <w:sz w:val="24"/>
          <w:szCs w:val="24"/>
        </w:rPr>
        <w:t>r</w:t>
      </w:r>
      <w:r w:rsidRPr="008C3ACC">
        <w:rPr>
          <w:rFonts w:ascii="Century Gothic" w:eastAsia="Times New Roman" w:hAnsi="Century Gothic" w:cs="Arial"/>
          <w:sz w:val="24"/>
          <w:szCs w:val="24"/>
        </w:rPr>
        <w:t xml:space="preserve">ds Service Act; </w:t>
      </w:r>
    </w:p>
    <w:p w:rsidR="00C55517" w:rsidRDefault="00C55517" w:rsidP="00C555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8C3ACC">
        <w:rPr>
          <w:rFonts w:ascii="Century Gothic" w:eastAsia="Times New Roman" w:hAnsi="Century Gothic" w:cs="Arial"/>
          <w:sz w:val="24"/>
          <w:szCs w:val="24"/>
        </w:rPr>
        <w:t xml:space="preserve">the extent to which management is committed to records management in the municipality and the current records management infrastructure and staffing structure; and </w:t>
      </w:r>
    </w:p>
    <w:p w:rsidR="00C55517" w:rsidRDefault="00C55517" w:rsidP="00C555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8C3ACC">
        <w:rPr>
          <w:rFonts w:ascii="Century Gothic" w:eastAsia="Times New Roman" w:hAnsi="Century Gothic" w:cs="Arial"/>
          <w:sz w:val="24"/>
          <w:szCs w:val="24"/>
        </w:rPr>
        <w:t xml:space="preserve">the availability of funds for the procurement and implementation of the system </w:t>
      </w:r>
    </w:p>
    <w:p w:rsidR="00C55517" w:rsidRDefault="00C55517" w:rsidP="00C55517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014C92">
        <w:rPr>
          <w:rFonts w:ascii="Century Gothic" w:eastAsia="Times New Roman" w:hAnsi="Century Gothic" w:cs="Arial"/>
          <w:sz w:val="24"/>
          <w:szCs w:val="24"/>
        </w:rPr>
        <w:t xml:space="preserve">(B) The recommendations on the way forward; and </w:t>
      </w:r>
    </w:p>
    <w:p w:rsidR="00C55517" w:rsidRPr="00014C92" w:rsidRDefault="00C55517" w:rsidP="00C55517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014C92">
        <w:rPr>
          <w:rFonts w:ascii="Century Gothic" w:eastAsia="Times New Roman" w:hAnsi="Century Gothic" w:cs="Arial"/>
          <w:sz w:val="24"/>
          <w:szCs w:val="24"/>
        </w:rPr>
        <w:t xml:space="preserve">(C) The </w:t>
      </w:r>
      <w:r>
        <w:rPr>
          <w:rFonts w:ascii="Century Gothic" w:eastAsia="Times New Roman" w:hAnsi="Century Gothic" w:cs="Arial"/>
          <w:sz w:val="24"/>
          <w:szCs w:val="24"/>
        </w:rPr>
        <w:t>estimated</w:t>
      </w:r>
      <w:r w:rsidRPr="00014C92">
        <w:rPr>
          <w:rFonts w:ascii="Century Gothic" w:eastAsia="Times New Roman" w:hAnsi="Century Gothic" w:cs="Arial"/>
          <w:sz w:val="24"/>
          <w:szCs w:val="24"/>
        </w:rPr>
        <w:t xml:space="preserve"> cost.</w:t>
      </w:r>
    </w:p>
    <w:p w:rsidR="00C55517" w:rsidRPr="00A05009" w:rsidRDefault="00C55517" w:rsidP="00C55517">
      <w:pPr>
        <w:pStyle w:val="ListParagraph"/>
        <w:spacing w:after="0" w:line="240" w:lineRule="auto"/>
        <w:ind w:hanging="436"/>
        <w:jc w:val="both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4</w:t>
      </w:r>
      <w:r w:rsidRPr="00280AFB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.  </w:t>
      </w:r>
      <w:r w:rsidRPr="00A05009">
        <w:rPr>
          <w:rFonts w:ascii="Century Gothic" w:eastAsia="Times New Roman" w:hAnsi="Century Gothic" w:cs="Arial"/>
          <w:sz w:val="24"/>
          <w:szCs w:val="24"/>
        </w:rPr>
        <w:t>Commence implementation of an Electronic Document and Records Management System (EDRMS) or Enterprise Content Management (ECM) System.</w:t>
      </w:r>
    </w:p>
    <w:p w:rsidR="00C55517" w:rsidRDefault="00C55517" w:rsidP="00C55517">
      <w:pPr>
        <w:spacing w:after="160" w:line="259" w:lineRule="auto"/>
        <w:rPr>
          <w:rFonts w:ascii="Century Gothic" w:eastAsia="Times New Roman" w:hAnsi="Century Gothic" w:cs="Arial"/>
          <w:b/>
          <w:sz w:val="24"/>
          <w:szCs w:val="24"/>
        </w:rPr>
      </w:pPr>
    </w:p>
    <w:p w:rsidR="00C55517" w:rsidRPr="00260CBC" w:rsidRDefault="00C55517" w:rsidP="00C55517">
      <w:pPr>
        <w:spacing w:after="160" w:line="259" w:lineRule="auto"/>
        <w:rPr>
          <w:rFonts w:ascii="Century Gothic" w:eastAsia="Times New Roman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P</w:t>
      </w:r>
      <w:r w:rsidRPr="00260CBC">
        <w:rPr>
          <w:rFonts w:ascii="Century Gothic" w:eastAsia="Times New Roman" w:hAnsi="Century Gothic" w:cs="Arial"/>
          <w:b/>
          <w:sz w:val="24"/>
          <w:szCs w:val="24"/>
        </w:rPr>
        <w:t xml:space="preserve">ROJECT DURATION </w:t>
      </w:r>
    </w:p>
    <w:p w:rsidR="00C55517" w:rsidRDefault="00C55517" w:rsidP="00C55517">
      <w:pPr>
        <w:suppressAutoHyphens/>
        <w:autoSpaceDN w:val="0"/>
        <w:jc w:val="both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260CBC">
        <w:rPr>
          <w:rFonts w:ascii="Century Gothic" w:eastAsia="Times New Roman" w:hAnsi="Century Gothic" w:cs="Arial"/>
          <w:sz w:val="24"/>
          <w:szCs w:val="24"/>
        </w:rPr>
        <w:t xml:space="preserve">The maximum period for the completion of the </w:t>
      </w:r>
      <w:r>
        <w:rPr>
          <w:rFonts w:ascii="Century Gothic" w:eastAsia="Times New Roman" w:hAnsi="Century Gothic" w:cs="Arial"/>
          <w:sz w:val="24"/>
          <w:szCs w:val="24"/>
        </w:rPr>
        <w:t xml:space="preserve">exercise including submitting a close-out report is </w:t>
      </w:r>
      <w:r w:rsidR="0054283D">
        <w:rPr>
          <w:rFonts w:ascii="Century Gothic" w:eastAsia="Times New Roman" w:hAnsi="Century Gothic" w:cs="Arial"/>
          <w:sz w:val="24"/>
          <w:szCs w:val="24"/>
        </w:rPr>
        <w:t>8</w:t>
      </w:r>
      <w:r>
        <w:rPr>
          <w:rFonts w:ascii="Century Gothic" w:eastAsia="Times New Roman" w:hAnsi="Century Gothic" w:cs="Arial"/>
          <w:sz w:val="24"/>
          <w:szCs w:val="24"/>
        </w:rPr>
        <w:t xml:space="preserve"> months.</w:t>
      </w:r>
    </w:p>
    <w:p w:rsidR="00366673" w:rsidRDefault="004327F3"/>
    <w:sectPr w:rsidR="00366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9A9"/>
    <w:multiLevelType w:val="hybridMultilevel"/>
    <w:tmpl w:val="AC889262"/>
    <w:lvl w:ilvl="0" w:tplc="1C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B524C"/>
    <w:multiLevelType w:val="hybridMultilevel"/>
    <w:tmpl w:val="DB1E95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CDC"/>
    <w:multiLevelType w:val="hybridMultilevel"/>
    <w:tmpl w:val="0C5CA4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17"/>
    <w:rsid w:val="00122844"/>
    <w:rsid w:val="0054283D"/>
    <w:rsid w:val="00686903"/>
    <w:rsid w:val="00821A67"/>
    <w:rsid w:val="008B6138"/>
    <w:rsid w:val="00AB675E"/>
    <w:rsid w:val="00B33C9E"/>
    <w:rsid w:val="00C55517"/>
    <w:rsid w:val="00CD553C"/>
    <w:rsid w:val="00D464AB"/>
    <w:rsid w:val="00E03B31"/>
    <w:rsid w:val="00F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B2A2E-320E-4905-B33F-A394CD98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17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Sthembiso Memela</cp:lastModifiedBy>
  <cp:revision>2</cp:revision>
  <cp:lastPrinted>2017-04-24T09:05:00Z</cp:lastPrinted>
  <dcterms:created xsi:type="dcterms:W3CDTF">2017-06-15T09:55:00Z</dcterms:created>
  <dcterms:modified xsi:type="dcterms:W3CDTF">2017-06-15T09:55:00Z</dcterms:modified>
</cp:coreProperties>
</file>