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BB" w:rsidRPr="00E319FD" w:rsidRDefault="002968BB" w:rsidP="00E319FD">
      <w:pPr>
        <w:autoSpaceDE w:val="0"/>
        <w:autoSpaceDN w:val="0"/>
        <w:adjustRightInd w:val="0"/>
        <w:spacing w:line="360" w:lineRule="auto"/>
        <w:jc w:val="center"/>
        <w:rPr>
          <w:rFonts w:ascii="Impact" w:hAnsi="Impact" w:cs="Arial"/>
          <w:b/>
          <w:bCs/>
          <w:sz w:val="96"/>
          <w:szCs w:val="96"/>
        </w:rPr>
      </w:pPr>
      <w:r w:rsidRPr="00E319FD">
        <w:rPr>
          <w:rFonts w:ascii="Impact" w:hAnsi="Impact" w:cs="Arial"/>
          <w:b/>
          <w:bCs/>
          <w:sz w:val="96"/>
          <w:szCs w:val="96"/>
        </w:rPr>
        <w:t>INKOSI LANGALIBALELE MUNICIPALITY</w:t>
      </w:r>
    </w:p>
    <w:p w:rsidR="002968BB" w:rsidRPr="008C4A18" w:rsidRDefault="002968BB" w:rsidP="002968BB">
      <w:pPr>
        <w:pStyle w:val="BodyText"/>
        <w:rPr>
          <w:rFonts w:ascii="Calibri" w:hAnsi="Calibri"/>
          <w:u w:val="single"/>
        </w:rPr>
      </w:pPr>
    </w:p>
    <w:p w:rsidR="002968BB" w:rsidRDefault="002968BB" w:rsidP="00E319FD">
      <w:pPr>
        <w:jc w:val="center"/>
        <w:rPr>
          <w:rFonts w:ascii="Aharoni" w:hAnsi="Aharoni" w:cs="Aharoni"/>
          <w:b/>
          <w:sz w:val="72"/>
          <w:szCs w:val="72"/>
        </w:rPr>
      </w:pPr>
      <w:r>
        <w:rPr>
          <w:rFonts w:ascii="Aharoni" w:hAnsi="Aharoni" w:cs="Aharoni"/>
          <w:b/>
          <w:noProof/>
          <w:sz w:val="72"/>
          <w:szCs w:val="72"/>
          <w:lang w:val="en-ZA" w:eastAsia="en-ZA"/>
        </w:rPr>
        <w:drawing>
          <wp:inline distT="0" distB="0" distL="0" distR="0" wp14:anchorId="5A7FB839" wp14:editId="70CB59B1">
            <wp:extent cx="3580765" cy="27908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0765" cy="2790825"/>
                    </a:xfrm>
                    <a:prstGeom prst="rect">
                      <a:avLst/>
                    </a:prstGeom>
                    <a:noFill/>
                  </pic:spPr>
                </pic:pic>
              </a:graphicData>
            </a:graphic>
          </wp:inline>
        </w:drawing>
      </w:r>
    </w:p>
    <w:p w:rsidR="00E319FD" w:rsidRDefault="00E319FD" w:rsidP="00E319FD">
      <w:pPr>
        <w:jc w:val="center"/>
        <w:rPr>
          <w:rFonts w:ascii="Impact" w:hAnsi="Impact" w:cs="Aharoni"/>
          <w:b/>
          <w:sz w:val="96"/>
          <w:szCs w:val="96"/>
        </w:rPr>
      </w:pPr>
    </w:p>
    <w:p w:rsidR="002968BB" w:rsidRPr="00E319FD" w:rsidRDefault="00076BC0" w:rsidP="00E319FD">
      <w:pPr>
        <w:jc w:val="center"/>
        <w:rPr>
          <w:rFonts w:ascii="Impact" w:hAnsi="Impact" w:cs="Aharoni"/>
          <w:b/>
          <w:sz w:val="96"/>
          <w:szCs w:val="96"/>
        </w:rPr>
      </w:pPr>
      <w:bookmarkStart w:id="0" w:name="_GoBack"/>
      <w:bookmarkEnd w:id="0"/>
      <w:r w:rsidRPr="00E319FD">
        <w:rPr>
          <w:rFonts w:ascii="Impact" w:hAnsi="Impact" w:cs="Aharoni"/>
          <w:b/>
          <w:sz w:val="96"/>
          <w:szCs w:val="96"/>
        </w:rPr>
        <w:t>DRAFT ANNUAL BUDGET 2019/20</w:t>
      </w:r>
    </w:p>
    <w:p w:rsidR="00281E23" w:rsidRDefault="00281E23" w:rsidP="002968BB">
      <w:pPr>
        <w:rPr>
          <w:rFonts w:ascii="Arial" w:hAnsi="Arial" w:cs="Arial"/>
        </w:rPr>
        <w:sectPr w:rsidR="00281E23" w:rsidSect="004E157C">
          <w:pgSz w:w="12240" w:h="15840"/>
          <w:pgMar w:top="1440" w:right="1440" w:bottom="1440" w:left="1440" w:header="708" w:footer="708" w:gutter="0"/>
          <w:pgNumType w:start="1"/>
          <w:cols w:space="708"/>
          <w:titlePg/>
          <w:docGrid w:linePitch="360"/>
        </w:sectPr>
      </w:pPr>
    </w:p>
    <w:p w:rsidR="00C53CF3" w:rsidRDefault="00C53CF3" w:rsidP="002968BB">
      <w:pPr>
        <w:rPr>
          <w:rFonts w:ascii="Arial Black" w:hAnsi="Arial Black"/>
          <w:sz w:val="32"/>
          <w:szCs w:val="32"/>
        </w:rPr>
      </w:pPr>
    </w:p>
    <w:p w:rsidR="00C53CF3" w:rsidRDefault="00C53CF3" w:rsidP="00EC6103">
      <w:pPr>
        <w:jc w:val="center"/>
        <w:rPr>
          <w:rFonts w:ascii="Arial Black" w:hAnsi="Arial Black"/>
          <w:sz w:val="32"/>
          <w:szCs w:val="32"/>
        </w:rPr>
      </w:pPr>
    </w:p>
    <w:p w:rsidR="00C53CF3" w:rsidRDefault="00C53CF3" w:rsidP="00EC6103">
      <w:pPr>
        <w:jc w:val="center"/>
        <w:rPr>
          <w:rFonts w:ascii="Arial Black" w:hAnsi="Arial Black"/>
          <w:sz w:val="32"/>
          <w:szCs w:val="32"/>
        </w:rPr>
      </w:pPr>
      <w:r>
        <w:rPr>
          <w:rFonts w:ascii="Arial Black" w:hAnsi="Arial Black"/>
          <w:sz w:val="32"/>
          <w:szCs w:val="32"/>
        </w:rPr>
        <w:t>Copies o</w:t>
      </w:r>
      <w:r w:rsidR="005264E8">
        <w:rPr>
          <w:rFonts w:ascii="Arial Black" w:hAnsi="Arial Black"/>
          <w:sz w:val="32"/>
          <w:szCs w:val="32"/>
        </w:rPr>
        <w:t>f</w:t>
      </w:r>
      <w:r>
        <w:rPr>
          <w:rFonts w:ascii="Arial Black" w:hAnsi="Arial Black"/>
          <w:sz w:val="32"/>
          <w:szCs w:val="32"/>
        </w:rPr>
        <w:t xml:space="preserve"> this document can be viewed:</w:t>
      </w:r>
    </w:p>
    <w:p w:rsidR="00C53CF3" w:rsidRPr="00C53CF3" w:rsidRDefault="00C53CF3" w:rsidP="00E50C0E">
      <w:pPr>
        <w:pStyle w:val="ListParagraph"/>
        <w:numPr>
          <w:ilvl w:val="0"/>
          <w:numId w:val="7"/>
        </w:numPr>
        <w:jc w:val="center"/>
        <w:rPr>
          <w:rFonts w:ascii="Arial Black" w:hAnsi="Arial Black"/>
          <w:sz w:val="28"/>
          <w:szCs w:val="28"/>
        </w:rPr>
      </w:pPr>
      <w:r w:rsidRPr="00C53CF3">
        <w:rPr>
          <w:rFonts w:ascii="Arial Black" w:hAnsi="Arial Black"/>
          <w:sz w:val="28"/>
          <w:szCs w:val="28"/>
        </w:rPr>
        <w:t xml:space="preserve">In the foyers of all </w:t>
      </w:r>
      <w:r>
        <w:rPr>
          <w:rFonts w:ascii="Arial Black" w:hAnsi="Arial Black"/>
          <w:sz w:val="28"/>
          <w:szCs w:val="28"/>
        </w:rPr>
        <w:t>municipal buildings</w:t>
      </w:r>
    </w:p>
    <w:p w:rsidR="00C53CF3" w:rsidRPr="00C53CF3" w:rsidRDefault="00C53CF3" w:rsidP="00E50C0E">
      <w:pPr>
        <w:pStyle w:val="ListParagraph"/>
        <w:numPr>
          <w:ilvl w:val="0"/>
          <w:numId w:val="7"/>
        </w:numPr>
        <w:jc w:val="center"/>
        <w:rPr>
          <w:rFonts w:ascii="Arial Black" w:hAnsi="Arial Black"/>
          <w:sz w:val="28"/>
          <w:szCs w:val="28"/>
        </w:rPr>
      </w:pPr>
      <w:r w:rsidRPr="00C53CF3">
        <w:rPr>
          <w:rFonts w:ascii="Arial Black" w:hAnsi="Arial Black"/>
          <w:sz w:val="28"/>
          <w:szCs w:val="28"/>
        </w:rPr>
        <w:t>All public libraries</w:t>
      </w:r>
      <w:r w:rsidR="005264E8">
        <w:rPr>
          <w:rFonts w:ascii="Arial Black" w:hAnsi="Arial Black"/>
          <w:sz w:val="28"/>
          <w:szCs w:val="28"/>
        </w:rPr>
        <w:t xml:space="preserve"> within the municipality</w:t>
      </w:r>
    </w:p>
    <w:p w:rsidR="00EC6103" w:rsidRPr="00120A4C" w:rsidRDefault="00C53CF3" w:rsidP="00E50C0E">
      <w:pPr>
        <w:pStyle w:val="ListParagraph"/>
        <w:numPr>
          <w:ilvl w:val="0"/>
          <w:numId w:val="7"/>
        </w:numPr>
        <w:jc w:val="center"/>
        <w:rPr>
          <w:rFonts w:ascii="Arial" w:eastAsiaTheme="majorEastAsia" w:hAnsi="Arial" w:cs="Arial"/>
          <w:b/>
          <w:bCs/>
        </w:rPr>
      </w:pPr>
      <w:r w:rsidRPr="00120A4C">
        <w:rPr>
          <w:rFonts w:ascii="Arial Black" w:hAnsi="Arial Black"/>
          <w:sz w:val="28"/>
          <w:szCs w:val="28"/>
        </w:rPr>
        <w:t xml:space="preserve">At </w:t>
      </w:r>
      <w:r w:rsidR="00EC3E9C">
        <w:rPr>
          <w:rFonts w:ascii="Arial Black" w:hAnsi="Arial Black"/>
          <w:sz w:val="28"/>
          <w:szCs w:val="28"/>
        </w:rPr>
        <w:t>www.</w:t>
      </w:r>
      <w:r w:rsidR="002968BB">
        <w:rPr>
          <w:rFonts w:ascii="Arial Black" w:hAnsi="Arial Black"/>
          <w:sz w:val="28"/>
          <w:szCs w:val="28"/>
        </w:rPr>
        <w:t>Inkosi Langalibalele</w:t>
      </w:r>
      <w:r w:rsidR="00EC3E9C">
        <w:rPr>
          <w:rFonts w:ascii="Arial Black" w:hAnsi="Arial Black"/>
          <w:sz w:val="28"/>
          <w:szCs w:val="28"/>
        </w:rPr>
        <w:t>.co.za</w:t>
      </w:r>
    </w:p>
    <w:p w:rsidR="00281E23" w:rsidRDefault="00281E23">
      <w:pPr>
        <w:sectPr w:rsidR="00281E23" w:rsidSect="00476586">
          <w:headerReference w:type="first" r:id="rId12"/>
          <w:footerReference w:type="first" r:id="rId13"/>
          <w:pgSz w:w="12240" w:h="15840"/>
          <w:pgMar w:top="1440" w:right="1440" w:bottom="1440" w:left="1440" w:header="708" w:footer="708" w:gutter="0"/>
          <w:cols w:space="708"/>
          <w:titlePg/>
          <w:docGrid w:linePitch="360"/>
        </w:sectPr>
      </w:pPr>
    </w:p>
    <w:p w:rsidR="00EC6103" w:rsidRPr="009B31E6" w:rsidRDefault="009B31E6">
      <w:pPr>
        <w:rPr>
          <w:rFonts w:ascii="Arial" w:hAnsi="Arial" w:cs="Arial"/>
          <w:b/>
          <w:sz w:val="28"/>
          <w:szCs w:val="28"/>
        </w:rPr>
      </w:pPr>
      <w:r w:rsidRPr="009B31E6">
        <w:rPr>
          <w:rFonts w:ascii="Arial" w:hAnsi="Arial" w:cs="Arial"/>
          <w:b/>
          <w:sz w:val="28"/>
          <w:szCs w:val="28"/>
        </w:rPr>
        <w:t>Table of Contents</w:t>
      </w:r>
    </w:p>
    <w:p w:rsidR="009E7793" w:rsidRDefault="00951EB5" w:rsidP="000F267D">
      <w:pPr>
        <w:pStyle w:val="TOC2"/>
        <w:tabs>
          <w:tab w:val="right" w:leader="dot" w:pos="9350"/>
        </w:tabs>
        <w:rPr>
          <w:b/>
          <w:bCs/>
          <w:caps/>
          <w:noProof/>
          <w:sz w:val="22"/>
          <w:szCs w:val="22"/>
        </w:rPr>
      </w:pPr>
      <w:r>
        <w:rPr>
          <w:rFonts w:ascii="Arial" w:hAnsi="Arial" w:cs="Arial"/>
          <w:b/>
          <w:sz w:val="26"/>
          <w:szCs w:val="26"/>
        </w:rPr>
        <w:fldChar w:fldCharType="begin"/>
      </w:r>
      <w:r w:rsidR="009B31E6">
        <w:rPr>
          <w:rFonts w:ascii="Arial" w:hAnsi="Arial" w:cs="Arial"/>
          <w:b/>
          <w:sz w:val="26"/>
          <w:szCs w:val="26"/>
        </w:rPr>
        <w:instrText xml:space="preserve"> TOC \o "1-2" \h \z \u </w:instrText>
      </w:r>
      <w:r>
        <w:rPr>
          <w:rFonts w:ascii="Arial" w:hAnsi="Arial" w:cs="Arial"/>
          <w:b/>
          <w:sz w:val="26"/>
          <w:szCs w:val="26"/>
        </w:rPr>
        <w:fldChar w:fldCharType="separate"/>
      </w:r>
      <w:hyperlink w:anchor="_Toc287342520" w:history="1">
        <w:r w:rsidR="009E7793" w:rsidRPr="00E11B85">
          <w:rPr>
            <w:rStyle w:val="Hyperlink"/>
            <w:rFonts w:ascii="Arial Black" w:hAnsi="Arial Black" w:cs="Arial"/>
            <w:noProof/>
          </w:rPr>
          <w:t>Annexure</w:t>
        </w:r>
        <w:r w:rsidR="009E7793">
          <w:rPr>
            <w:noProof/>
            <w:webHidden/>
          </w:rPr>
          <w:tab/>
        </w:r>
        <w:r>
          <w:rPr>
            <w:noProof/>
            <w:webHidden/>
          </w:rPr>
          <w:fldChar w:fldCharType="begin"/>
        </w:r>
        <w:r w:rsidR="009E7793">
          <w:rPr>
            <w:noProof/>
            <w:webHidden/>
          </w:rPr>
          <w:instrText xml:space="preserve"> PAGEREF _Toc287342520 \h </w:instrText>
        </w:r>
        <w:r>
          <w:rPr>
            <w:noProof/>
            <w:webHidden/>
          </w:rPr>
        </w:r>
        <w:r>
          <w:rPr>
            <w:noProof/>
            <w:webHidden/>
          </w:rPr>
          <w:fldChar w:fldCharType="separate"/>
        </w:r>
        <w:r w:rsidR="00544739">
          <w:rPr>
            <w:b/>
            <w:bCs/>
            <w:noProof/>
            <w:webHidden/>
          </w:rPr>
          <w:t>Error! Bookmark not defined.</w:t>
        </w:r>
        <w:r>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2" w:history="1">
        <w:r w:rsidR="009E7793" w:rsidRPr="00E11B85">
          <w:rPr>
            <w:rStyle w:val="Hyperlink"/>
            <w:rFonts w:ascii="Arial" w:hAnsi="Arial" w:cs="Arial"/>
            <w:noProof/>
          </w:rPr>
          <w:t>1.1</w:t>
        </w:r>
        <w:r w:rsidR="009E7793">
          <w:rPr>
            <w:smallCaps w:val="0"/>
            <w:noProof/>
            <w:sz w:val="22"/>
            <w:szCs w:val="22"/>
          </w:rPr>
          <w:tab/>
        </w:r>
        <w:r w:rsidR="009E7793" w:rsidRPr="00E11B85">
          <w:rPr>
            <w:rStyle w:val="Hyperlink"/>
            <w:rFonts w:ascii="Arial" w:hAnsi="Arial" w:cs="Arial"/>
            <w:noProof/>
          </w:rPr>
          <w:t>Mayor’s Report</w:t>
        </w:r>
        <w:r w:rsidR="009E7793">
          <w:rPr>
            <w:noProof/>
            <w:webHidden/>
          </w:rPr>
          <w:tab/>
        </w:r>
        <w:r w:rsidR="00951EB5">
          <w:rPr>
            <w:noProof/>
            <w:webHidden/>
          </w:rPr>
          <w:fldChar w:fldCharType="begin"/>
        </w:r>
        <w:r w:rsidR="009E7793">
          <w:rPr>
            <w:noProof/>
            <w:webHidden/>
          </w:rPr>
          <w:instrText xml:space="preserve"> PAGEREF _Toc287342522 \h </w:instrText>
        </w:r>
        <w:r w:rsidR="00951EB5">
          <w:rPr>
            <w:noProof/>
            <w:webHidden/>
          </w:rPr>
        </w:r>
        <w:r w:rsidR="00951EB5">
          <w:rPr>
            <w:noProof/>
            <w:webHidden/>
          </w:rPr>
          <w:fldChar w:fldCharType="separate"/>
        </w:r>
        <w:r w:rsidR="00544739">
          <w:rPr>
            <w:noProof/>
            <w:webHidden/>
          </w:rPr>
          <w:t>1</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3" w:history="1">
        <w:r w:rsidR="009E7793" w:rsidRPr="00E11B85">
          <w:rPr>
            <w:rStyle w:val="Hyperlink"/>
            <w:rFonts w:ascii="Arial" w:hAnsi="Arial" w:cs="Arial"/>
            <w:noProof/>
          </w:rPr>
          <w:t>1.2</w:t>
        </w:r>
        <w:r w:rsidR="009E7793">
          <w:rPr>
            <w:smallCaps w:val="0"/>
            <w:noProof/>
            <w:sz w:val="22"/>
            <w:szCs w:val="22"/>
          </w:rPr>
          <w:tab/>
        </w:r>
        <w:r w:rsidR="009E7793" w:rsidRPr="00E11B85">
          <w:rPr>
            <w:rStyle w:val="Hyperlink"/>
            <w:rFonts w:ascii="Arial" w:hAnsi="Arial" w:cs="Arial"/>
            <w:noProof/>
          </w:rPr>
          <w:t>Council Resolutions</w:t>
        </w:r>
        <w:r w:rsidR="009E7793">
          <w:rPr>
            <w:noProof/>
            <w:webHidden/>
          </w:rPr>
          <w:tab/>
        </w:r>
        <w:r w:rsidR="00951EB5">
          <w:rPr>
            <w:noProof/>
            <w:webHidden/>
          </w:rPr>
          <w:fldChar w:fldCharType="begin"/>
        </w:r>
        <w:r w:rsidR="009E7793">
          <w:rPr>
            <w:noProof/>
            <w:webHidden/>
          </w:rPr>
          <w:instrText xml:space="preserve"> PAGEREF _Toc287342523 \h </w:instrText>
        </w:r>
        <w:r w:rsidR="00951EB5">
          <w:rPr>
            <w:noProof/>
            <w:webHidden/>
          </w:rPr>
        </w:r>
        <w:r w:rsidR="00951EB5">
          <w:rPr>
            <w:noProof/>
            <w:webHidden/>
          </w:rPr>
          <w:fldChar w:fldCharType="separate"/>
        </w:r>
        <w:r w:rsidR="00544739">
          <w:rPr>
            <w:noProof/>
            <w:webHidden/>
          </w:rPr>
          <w:t>2</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4" w:history="1">
        <w:r w:rsidR="009E7793" w:rsidRPr="00E11B85">
          <w:rPr>
            <w:rStyle w:val="Hyperlink"/>
            <w:rFonts w:ascii="Arial" w:hAnsi="Arial" w:cs="Arial"/>
            <w:noProof/>
          </w:rPr>
          <w:t>1.3</w:t>
        </w:r>
        <w:r w:rsidR="009E7793">
          <w:rPr>
            <w:smallCaps w:val="0"/>
            <w:noProof/>
            <w:sz w:val="22"/>
            <w:szCs w:val="22"/>
          </w:rPr>
          <w:tab/>
        </w:r>
        <w:r w:rsidR="009E7793" w:rsidRPr="00E11B85">
          <w:rPr>
            <w:rStyle w:val="Hyperlink"/>
            <w:rFonts w:ascii="Arial" w:hAnsi="Arial" w:cs="Arial"/>
            <w:noProof/>
          </w:rPr>
          <w:t>Executive Summary</w:t>
        </w:r>
        <w:r w:rsidR="009E7793">
          <w:rPr>
            <w:noProof/>
            <w:webHidden/>
          </w:rPr>
          <w:tab/>
        </w:r>
        <w:r w:rsidR="00951EB5">
          <w:rPr>
            <w:noProof/>
            <w:webHidden/>
          </w:rPr>
          <w:fldChar w:fldCharType="begin"/>
        </w:r>
        <w:r w:rsidR="009E7793">
          <w:rPr>
            <w:noProof/>
            <w:webHidden/>
          </w:rPr>
          <w:instrText xml:space="preserve"> PAGEREF _Toc287342524 \h </w:instrText>
        </w:r>
        <w:r w:rsidR="00951EB5">
          <w:rPr>
            <w:noProof/>
            <w:webHidden/>
          </w:rPr>
        </w:r>
        <w:r w:rsidR="00951EB5">
          <w:rPr>
            <w:noProof/>
            <w:webHidden/>
          </w:rPr>
          <w:fldChar w:fldCharType="separate"/>
        </w:r>
        <w:r w:rsidR="00544739">
          <w:rPr>
            <w:noProof/>
            <w:webHidden/>
          </w:rPr>
          <w:t>3</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5" w:history="1">
        <w:r w:rsidR="009E7793" w:rsidRPr="00E11B85">
          <w:rPr>
            <w:rStyle w:val="Hyperlink"/>
            <w:rFonts w:ascii="Arial" w:hAnsi="Arial" w:cs="Arial"/>
            <w:noProof/>
          </w:rPr>
          <w:t>1.4</w:t>
        </w:r>
        <w:r w:rsidR="009E7793">
          <w:rPr>
            <w:smallCaps w:val="0"/>
            <w:noProof/>
            <w:sz w:val="22"/>
            <w:szCs w:val="22"/>
          </w:rPr>
          <w:tab/>
        </w:r>
        <w:r w:rsidR="009E7793" w:rsidRPr="00E11B85">
          <w:rPr>
            <w:rStyle w:val="Hyperlink"/>
            <w:rFonts w:ascii="Arial" w:hAnsi="Arial" w:cs="Arial"/>
            <w:noProof/>
          </w:rPr>
          <w:t>Operating Revenue Framework</w:t>
        </w:r>
        <w:r w:rsidR="009E7793">
          <w:rPr>
            <w:noProof/>
            <w:webHidden/>
          </w:rPr>
          <w:tab/>
        </w:r>
        <w:r w:rsidR="00951EB5">
          <w:rPr>
            <w:noProof/>
            <w:webHidden/>
          </w:rPr>
          <w:fldChar w:fldCharType="begin"/>
        </w:r>
        <w:r w:rsidR="009E7793">
          <w:rPr>
            <w:noProof/>
            <w:webHidden/>
          </w:rPr>
          <w:instrText xml:space="preserve"> PAGEREF _Toc287342525 \h </w:instrText>
        </w:r>
        <w:r w:rsidR="00951EB5">
          <w:rPr>
            <w:noProof/>
            <w:webHidden/>
          </w:rPr>
        </w:r>
        <w:r w:rsidR="00951EB5">
          <w:rPr>
            <w:noProof/>
            <w:webHidden/>
          </w:rPr>
          <w:fldChar w:fldCharType="separate"/>
        </w:r>
        <w:r w:rsidR="00544739">
          <w:rPr>
            <w:noProof/>
            <w:webHidden/>
          </w:rPr>
          <w:t>5</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6" w:history="1">
        <w:r w:rsidR="009E7793" w:rsidRPr="00E11B85">
          <w:rPr>
            <w:rStyle w:val="Hyperlink"/>
            <w:rFonts w:ascii="Arial" w:hAnsi="Arial" w:cs="Arial"/>
            <w:noProof/>
          </w:rPr>
          <w:t>1.5</w:t>
        </w:r>
        <w:r w:rsidR="009E7793">
          <w:rPr>
            <w:smallCaps w:val="0"/>
            <w:noProof/>
            <w:sz w:val="22"/>
            <w:szCs w:val="22"/>
          </w:rPr>
          <w:tab/>
        </w:r>
        <w:r w:rsidR="009E7793" w:rsidRPr="00E11B85">
          <w:rPr>
            <w:rStyle w:val="Hyperlink"/>
            <w:rFonts w:ascii="Arial" w:hAnsi="Arial" w:cs="Arial"/>
            <w:noProof/>
          </w:rPr>
          <w:t>Operating Expenditure Framework</w:t>
        </w:r>
        <w:r w:rsidR="009E7793">
          <w:rPr>
            <w:noProof/>
            <w:webHidden/>
          </w:rPr>
          <w:tab/>
        </w:r>
        <w:r w:rsidR="00951EB5">
          <w:rPr>
            <w:noProof/>
            <w:webHidden/>
          </w:rPr>
          <w:fldChar w:fldCharType="begin"/>
        </w:r>
        <w:r w:rsidR="009E7793">
          <w:rPr>
            <w:noProof/>
            <w:webHidden/>
          </w:rPr>
          <w:instrText xml:space="preserve"> PAGEREF _Toc287342526 \h </w:instrText>
        </w:r>
        <w:r w:rsidR="00951EB5">
          <w:rPr>
            <w:noProof/>
            <w:webHidden/>
          </w:rPr>
        </w:r>
        <w:r w:rsidR="00951EB5">
          <w:rPr>
            <w:noProof/>
            <w:webHidden/>
          </w:rPr>
          <w:fldChar w:fldCharType="separate"/>
        </w:r>
        <w:r w:rsidR="00544739">
          <w:rPr>
            <w:noProof/>
            <w:webHidden/>
          </w:rPr>
          <w:t>12</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7" w:history="1">
        <w:r w:rsidR="009E7793" w:rsidRPr="00E11B85">
          <w:rPr>
            <w:rStyle w:val="Hyperlink"/>
            <w:rFonts w:ascii="Arial" w:hAnsi="Arial" w:cs="Arial"/>
            <w:noProof/>
          </w:rPr>
          <w:t>1.6</w:t>
        </w:r>
        <w:r w:rsidR="009E7793">
          <w:rPr>
            <w:smallCaps w:val="0"/>
            <w:noProof/>
            <w:sz w:val="22"/>
            <w:szCs w:val="22"/>
          </w:rPr>
          <w:tab/>
        </w:r>
        <w:r w:rsidR="009E7793" w:rsidRPr="00E11B85">
          <w:rPr>
            <w:rStyle w:val="Hyperlink"/>
            <w:rFonts w:ascii="Arial" w:hAnsi="Arial" w:cs="Arial"/>
            <w:noProof/>
          </w:rPr>
          <w:t>Capital expenditure</w:t>
        </w:r>
        <w:r w:rsidR="009E7793">
          <w:rPr>
            <w:noProof/>
            <w:webHidden/>
          </w:rPr>
          <w:tab/>
        </w:r>
        <w:r w:rsidR="00951EB5">
          <w:rPr>
            <w:noProof/>
            <w:webHidden/>
          </w:rPr>
          <w:fldChar w:fldCharType="begin"/>
        </w:r>
        <w:r w:rsidR="009E7793">
          <w:rPr>
            <w:noProof/>
            <w:webHidden/>
          </w:rPr>
          <w:instrText xml:space="preserve"> PAGEREF _Toc287342527 \h </w:instrText>
        </w:r>
        <w:r w:rsidR="00951EB5">
          <w:rPr>
            <w:noProof/>
            <w:webHidden/>
          </w:rPr>
        </w:r>
        <w:r w:rsidR="00951EB5">
          <w:rPr>
            <w:noProof/>
            <w:webHidden/>
          </w:rPr>
          <w:fldChar w:fldCharType="separate"/>
        </w:r>
        <w:r w:rsidR="00544739">
          <w:rPr>
            <w:noProof/>
            <w:webHidden/>
          </w:rPr>
          <w:t>16</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28" w:history="1">
        <w:r w:rsidR="009E7793" w:rsidRPr="00E11B85">
          <w:rPr>
            <w:rStyle w:val="Hyperlink"/>
            <w:rFonts w:ascii="Arial" w:hAnsi="Arial" w:cs="Arial"/>
            <w:noProof/>
          </w:rPr>
          <w:t>1.7</w:t>
        </w:r>
        <w:r w:rsidR="009E7793">
          <w:rPr>
            <w:smallCaps w:val="0"/>
            <w:noProof/>
            <w:sz w:val="22"/>
            <w:szCs w:val="22"/>
          </w:rPr>
          <w:tab/>
        </w:r>
        <w:r w:rsidR="009E7793" w:rsidRPr="00E11B85">
          <w:rPr>
            <w:rStyle w:val="Hyperlink"/>
            <w:rFonts w:ascii="Arial" w:hAnsi="Arial" w:cs="Arial"/>
            <w:noProof/>
          </w:rPr>
          <w:t>Annual Budget Tables - Parent Municipality</w:t>
        </w:r>
        <w:r w:rsidR="009E7793">
          <w:rPr>
            <w:noProof/>
            <w:webHidden/>
          </w:rPr>
          <w:tab/>
        </w:r>
        <w:r w:rsidR="00951EB5">
          <w:rPr>
            <w:noProof/>
            <w:webHidden/>
          </w:rPr>
          <w:fldChar w:fldCharType="begin"/>
        </w:r>
        <w:r w:rsidR="009E7793">
          <w:rPr>
            <w:noProof/>
            <w:webHidden/>
          </w:rPr>
          <w:instrText xml:space="preserve"> PAGEREF _Toc287342528 \h </w:instrText>
        </w:r>
        <w:r w:rsidR="00951EB5">
          <w:rPr>
            <w:noProof/>
            <w:webHidden/>
          </w:rPr>
        </w:r>
        <w:r w:rsidR="00951EB5">
          <w:rPr>
            <w:noProof/>
            <w:webHidden/>
          </w:rPr>
          <w:fldChar w:fldCharType="separate"/>
        </w:r>
        <w:r w:rsidR="00544739">
          <w:rPr>
            <w:noProof/>
            <w:webHidden/>
          </w:rPr>
          <w:t>17</w:t>
        </w:r>
        <w:r w:rsidR="00951EB5">
          <w:rPr>
            <w:noProof/>
            <w:webHidden/>
          </w:rPr>
          <w:fldChar w:fldCharType="end"/>
        </w:r>
      </w:hyperlink>
    </w:p>
    <w:p w:rsidR="009E7793" w:rsidRDefault="00E319FD">
      <w:pPr>
        <w:pStyle w:val="TOC1"/>
        <w:tabs>
          <w:tab w:val="left" w:pos="440"/>
          <w:tab w:val="right" w:leader="dot" w:pos="9350"/>
        </w:tabs>
        <w:rPr>
          <w:b w:val="0"/>
          <w:bCs w:val="0"/>
          <w:caps w:val="0"/>
          <w:noProof/>
          <w:sz w:val="22"/>
          <w:szCs w:val="22"/>
        </w:rPr>
      </w:pPr>
      <w:hyperlink w:anchor="_Toc287342529" w:history="1">
        <w:r w:rsidR="009E7793" w:rsidRPr="00E11B85">
          <w:rPr>
            <w:rStyle w:val="Hyperlink"/>
            <w:rFonts w:ascii="Arial Black" w:hAnsi="Arial Black"/>
            <w:noProof/>
          </w:rPr>
          <w:t>Part 2 – Supporting Documentation</w:t>
        </w:r>
        <w:r w:rsidR="009E7793">
          <w:rPr>
            <w:noProof/>
            <w:webHidden/>
          </w:rPr>
          <w:tab/>
        </w:r>
        <w:r w:rsidR="00951EB5">
          <w:rPr>
            <w:noProof/>
            <w:webHidden/>
          </w:rPr>
          <w:fldChar w:fldCharType="begin"/>
        </w:r>
        <w:r w:rsidR="009E7793">
          <w:rPr>
            <w:noProof/>
            <w:webHidden/>
          </w:rPr>
          <w:instrText xml:space="preserve"> PAGEREF _Toc287342529 \h </w:instrText>
        </w:r>
        <w:r w:rsidR="00951EB5">
          <w:rPr>
            <w:noProof/>
            <w:webHidden/>
          </w:rPr>
        </w:r>
        <w:r w:rsidR="00951EB5">
          <w:rPr>
            <w:noProof/>
            <w:webHidden/>
          </w:rPr>
          <w:fldChar w:fldCharType="separate"/>
        </w:r>
        <w:r w:rsidR="00544739">
          <w:rPr>
            <w:noProof/>
            <w:webHidden/>
          </w:rPr>
          <w:t>38</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0" w:history="1">
        <w:r w:rsidR="009E7793" w:rsidRPr="00E11B85">
          <w:rPr>
            <w:rStyle w:val="Hyperlink"/>
            <w:rFonts w:ascii="Arial" w:hAnsi="Arial" w:cs="Arial"/>
            <w:noProof/>
          </w:rPr>
          <w:t>2.1</w:t>
        </w:r>
        <w:r w:rsidR="009E7793">
          <w:rPr>
            <w:smallCaps w:val="0"/>
            <w:noProof/>
            <w:sz w:val="22"/>
            <w:szCs w:val="22"/>
          </w:rPr>
          <w:tab/>
        </w:r>
        <w:r w:rsidR="009E7793" w:rsidRPr="00E11B85">
          <w:rPr>
            <w:rStyle w:val="Hyperlink"/>
            <w:rFonts w:ascii="Arial" w:hAnsi="Arial" w:cs="Arial"/>
            <w:noProof/>
          </w:rPr>
          <w:t>Overview of the annual budget process</w:t>
        </w:r>
        <w:r w:rsidR="009E7793">
          <w:rPr>
            <w:noProof/>
            <w:webHidden/>
          </w:rPr>
          <w:tab/>
        </w:r>
        <w:r w:rsidR="00951EB5">
          <w:rPr>
            <w:noProof/>
            <w:webHidden/>
          </w:rPr>
          <w:fldChar w:fldCharType="begin"/>
        </w:r>
        <w:r w:rsidR="009E7793">
          <w:rPr>
            <w:noProof/>
            <w:webHidden/>
          </w:rPr>
          <w:instrText xml:space="preserve"> PAGEREF _Toc287342530 \h </w:instrText>
        </w:r>
        <w:r w:rsidR="00951EB5">
          <w:rPr>
            <w:noProof/>
            <w:webHidden/>
          </w:rPr>
        </w:r>
        <w:r w:rsidR="00951EB5">
          <w:rPr>
            <w:noProof/>
            <w:webHidden/>
          </w:rPr>
          <w:fldChar w:fldCharType="separate"/>
        </w:r>
        <w:r w:rsidR="00544739">
          <w:rPr>
            <w:noProof/>
            <w:webHidden/>
          </w:rPr>
          <w:t>38</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1" w:history="1">
        <w:r w:rsidR="009E7793" w:rsidRPr="00E11B85">
          <w:rPr>
            <w:rStyle w:val="Hyperlink"/>
            <w:rFonts w:ascii="Arial" w:hAnsi="Arial" w:cs="Arial"/>
            <w:noProof/>
          </w:rPr>
          <w:t>2.2</w:t>
        </w:r>
        <w:r w:rsidR="009E7793">
          <w:rPr>
            <w:smallCaps w:val="0"/>
            <w:noProof/>
            <w:sz w:val="22"/>
            <w:szCs w:val="22"/>
          </w:rPr>
          <w:tab/>
        </w:r>
        <w:r w:rsidR="009E7793" w:rsidRPr="00E11B85">
          <w:rPr>
            <w:rStyle w:val="Hyperlink"/>
            <w:rFonts w:ascii="Arial" w:hAnsi="Arial" w:cs="Arial"/>
            <w:noProof/>
          </w:rPr>
          <w:t>Overview of alignment of annual budget with IDP</w:t>
        </w:r>
        <w:r w:rsidR="009E7793">
          <w:rPr>
            <w:noProof/>
            <w:webHidden/>
          </w:rPr>
          <w:tab/>
        </w:r>
        <w:r w:rsidR="00951EB5">
          <w:rPr>
            <w:noProof/>
            <w:webHidden/>
          </w:rPr>
          <w:fldChar w:fldCharType="begin"/>
        </w:r>
        <w:r w:rsidR="009E7793">
          <w:rPr>
            <w:noProof/>
            <w:webHidden/>
          </w:rPr>
          <w:instrText xml:space="preserve"> PAGEREF _Toc287342531 \h </w:instrText>
        </w:r>
        <w:r w:rsidR="00951EB5">
          <w:rPr>
            <w:noProof/>
            <w:webHidden/>
          </w:rPr>
        </w:r>
        <w:r w:rsidR="00951EB5">
          <w:rPr>
            <w:noProof/>
            <w:webHidden/>
          </w:rPr>
          <w:fldChar w:fldCharType="separate"/>
        </w:r>
        <w:r w:rsidR="00544739">
          <w:rPr>
            <w:noProof/>
            <w:webHidden/>
          </w:rPr>
          <w:t>41</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2" w:history="1">
        <w:r w:rsidR="009E7793" w:rsidRPr="00E11B85">
          <w:rPr>
            <w:rStyle w:val="Hyperlink"/>
            <w:rFonts w:ascii="Arial" w:hAnsi="Arial" w:cs="Arial"/>
            <w:noProof/>
          </w:rPr>
          <w:t>2.3</w:t>
        </w:r>
        <w:r w:rsidR="009E7793">
          <w:rPr>
            <w:smallCaps w:val="0"/>
            <w:noProof/>
            <w:sz w:val="22"/>
            <w:szCs w:val="22"/>
          </w:rPr>
          <w:tab/>
        </w:r>
        <w:r w:rsidR="009E7793" w:rsidRPr="00E11B85">
          <w:rPr>
            <w:rStyle w:val="Hyperlink"/>
            <w:rFonts w:ascii="Arial" w:hAnsi="Arial" w:cs="Arial"/>
            <w:noProof/>
          </w:rPr>
          <w:t>Measurable performance objectives and indicators</w:t>
        </w:r>
        <w:r w:rsidR="009E7793">
          <w:rPr>
            <w:noProof/>
            <w:webHidden/>
          </w:rPr>
          <w:tab/>
        </w:r>
        <w:r w:rsidR="00951EB5">
          <w:rPr>
            <w:noProof/>
            <w:webHidden/>
          </w:rPr>
          <w:fldChar w:fldCharType="begin"/>
        </w:r>
        <w:r w:rsidR="009E7793">
          <w:rPr>
            <w:noProof/>
            <w:webHidden/>
          </w:rPr>
          <w:instrText xml:space="preserve"> PAGEREF _Toc287342532 \h </w:instrText>
        </w:r>
        <w:r w:rsidR="00951EB5">
          <w:rPr>
            <w:noProof/>
            <w:webHidden/>
          </w:rPr>
        </w:r>
        <w:r w:rsidR="00951EB5">
          <w:rPr>
            <w:noProof/>
            <w:webHidden/>
          </w:rPr>
          <w:fldChar w:fldCharType="separate"/>
        </w:r>
        <w:r w:rsidR="00544739">
          <w:rPr>
            <w:noProof/>
            <w:webHidden/>
          </w:rPr>
          <w:t>45</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3" w:history="1">
        <w:r w:rsidR="009E7793" w:rsidRPr="00E11B85">
          <w:rPr>
            <w:rStyle w:val="Hyperlink"/>
            <w:rFonts w:ascii="Arial" w:hAnsi="Arial" w:cs="Arial"/>
            <w:noProof/>
          </w:rPr>
          <w:t>2.4</w:t>
        </w:r>
        <w:r w:rsidR="009E7793">
          <w:rPr>
            <w:smallCaps w:val="0"/>
            <w:noProof/>
            <w:sz w:val="22"/>
            <w:szCs w:val="22"/>
          </w:rPr>
          <w:tab/>
        </w:r>
        <w:r w:rsidR="009E7793" w:rsidRPr="00E11B85">
          <w:rPr>
            <w:rStyle w:val="Hyperlink"/>
            <w:rFonts w:ascii="Arial" w:hAnsi="Arial" w:cs="Arial"/>
            <w:noProof/>
          </w:rPr>
          <w:t>Overview of budget related-policies</w:t>
        </w:r>
        <w:r w:rsidR="009E7793">
          <w:rPr>
            <w:noProof/>
            <w:webHidden/>
          </w:rPr>
          <w:tab/>
        </w:r>
        <w:r w:rsidR="00951EB5">
          <w:rPr>
            <w:noProof/>
            <w:webHidden/>
          </w:rPr>
          <w:fldChar w:fldCharType="begin"/>
        </w:r>
        <w:r w:rsidR="009E7793">
          <w:rPr>
            <w:noProof/>
            <w:webHidden/>
          </w:rPr>
          <w:instrText xml:space="preserve"> PAGEREF _Toc287342533 \h </w:instrText>
        </w:r>
        <w:r w:rsidR="00951EB5">
          <w:rPr>
            <w:noProof/>
            <w:webHidden/>
          </w:rPr>
        </w:r>
        <w:r w:rsidR="00951EB5">
          <w:rPr>
            <w:noProof/>
            <w:webHidden/>
          </w:rPr>
          <w:fldChar w:fldCharType="separate"/>
        </w:r>
        <w:r w:rsidR="00544739">
          <w:rPr>
            <w:noProof/>
            <w:webHidden/>
          </w:rPr>
          <w:t>51</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4" w:history="1">
        <w:r w:rsidR="009E7793" w:rsidRPr="00E11B85">
          <w:rPr>
            <w:rStyle w:val="Hyperlink"/>
            <w:rFonts w:ascii="Arial" w:hAnsi="Arial" w:cs="Arial"/>
            <w:noProof/>
          </w:rPr>
          <w:t>2.5</w:t>
        </w:r>
        <w:r w:rsidR="009E7793">
          <w:rPr>
            <w:smallCaps w:val="0"/>
            <w:noProof/>
            <w:sz w:val="22"/>
            <w:szCs w:val="22"/>
          </w:rPr>
          <w:tab/>
        </w:r>
        <w:r w:rsidR="009E7793" w:rsidRPr="00E11B85">
          <w:rPr>
            <w:rStyle w:val="Hyperlink"/>
            <w:rFonts w:ascii="Arial" w:hAnsi="Arial" w:cs="Arial"/>
            <w:noProof/>
          </w:rPr>
          <w:t>Overview of budget assumptions</w:t>
        </w:r>
        <w:r w:rsidR="009E7793">
          <w:rPr>
            <w:noProof/>
            <w:webHidden/>
          </w:rPr>
          <w:tab/>
        </w:r>
        <w:r w:rsidR="00951EB5">
          <w:rPr>
            <w:noProof/>
            <w:webHidden/>
          </w:rPr>
          <w:fldChar w:fldCharType="begin"/>
        </w:r>
        <w:r w:rsidR="009E7793">
          <w:rPr>
            <w:noProof/>
            <w:webHidden/>
          </w:rPr>
          <w:instrText xml:space="preserve"> PAGEREF _Toc287342534 \h </w:instrText>
        </w:r>
        <w:r w:rsidR="00951EB5">
          <w:rPr>
            <w:noProof/>
            <w:webHidden/>
          </w:rPr>
        </w:r>
        <w:r w:rsidR="00951EB5">
          <w:rPr>
            <w:noProof/>
            <w:webHidden/>
          </w:rPr>
          <w:fldChar w:fldCharType="separate"/>
        </w:r>
        <w:r w:rsidR="00544739">
          <w:rPr>
            <w:noProof/>
            <w:webHidden/>
          </w:rPr>
          <w:t>53</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5" w:history="1">
        <w:r w:rsidR="009E7793" w:rsidRPr="00E11B85">
          <w:rPr>
            <w:rStyle w:val="Hyperlink"/>
            <w:rFonts w:ascii="Arial" w:hAnsi="Arial" w:cs="Arial"/>
            <w:noProof/>
          </w:rPr>
          <w:t>2.6</w:t>
        </w:r>
        <w:r w:rsidR="009E7793">
          <w:rPr>
            <w:smallCaps w:val="0"/>
            <w:noProof/>
            <w:sz w:val="22"/>
            <w:szCs w:val="22"/>
          </w:rPr>
          <w:tab/>
        </w:r>
        <w:r w:rsidR="009E7793" w:rsidRPr="00E11B85">
          <w:rPr>
            <w:rStyle w:val="Hyperlink"/>
            <w:rFonts w:ascii="Arial" w:hAnsi="Arial" w:cs="Arial"/>
            <w:noProof/>
          </w:rPr>
          <w:t>Overview of budget funding</w:t>
        </w:r>
        <w:r w:rsidR="009E7793">
          <w:rPr>
            <w:noProof/>
            <w:webHidden/>
          </w:rPr>
          <w:tab/>
        </w:r>
        <w:r w:rsidR="00951EB5">
          <w:rPr>
            <w:noProof/>
            <w:webHidden/>
          </w:rPr>
          <w:fldChar w:fldCharType="begin"/>
        </w:r>
        <w:r w:rsidR="009E7793">
          <w:rPr>
            <w:noProof/>
            <w:webHidden/>
          </w:rPr>
          <w:instrText xml:space="preserve"> PAGEREF _Toc287342535 \h </w:instrText>
        </w:r>
        <w:r w:rsidR="00951EB5">
          <w:rPr>
            <w:noProof/>
            <w:webHidden/>
          </w:rPr>
        </w:r>
        <w:r w:rsidR="00951EB5">
          <w:rPr>
            <w:noProof/>
            <w:webHidden/>
          </w:rPr>
          <w:fldChar w:fldCharType="separate"/>
        </w:r>
        <w:r w:rsidR="00544739">
          <w:rPr>
            <w:noProof/>
            <w:webHidden/>
          </w:rPr>
          <w:t>55</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6" w:history="1">
        <w:r w:rsidR="009E7793" w:rsidRPr="00E11B85">
          <w:rPr>
            <w:rStyle w:val="Hyperlink"/>
            <w:rFonts w:ascii="Arial" w:hAnsi="Arial" w:cs="Arial"/>
            <w:noProof/>
          </w:rPr>
          <w:t>2.7</w:t>
        </w:r>
        <w:r w:rsidR="009E7793">
          <w:rPr>
            <w:smallCaps w:val="0"/>
            <w:noProof/>
            <w:sz w:val="22"/>
            <w:szCs w:val="22"/>
          </w:rPr>
          <w:tab/>
        </w:r>
        <w:r w:rsidR="009E7793" w:rsidRPr="00E11B85">
          <w:rPr>
            <w:rStyle w:val="Hyperlink"/>
            <w:rFonts w:ascii="Arial" w:hAnsi="Arial" w:cs="Arial"/>
            <w:noProof/>
          </w:rPr>
          <w:t>Expenditure on grants and reconciliations of unspent funds</w:t>
        </w:r>
        <w:r w:rsidR="009E7793">
          <w:rPr>
            <w:noProof/>
            <w:webHidden/>
          </w:rPr>
          <w:tab/>
        </w:r>
        <w:r w:rsidR="00951EB5">
          <w:rPr>
            <w:noProof/>
            <w:webHidden/>
          </w:rPr>
          <w:fldChar w:fldCharType="begin"/>
        </w:r>
        <w:r w:rsidR="009E7793">
          <w:rPr>
            <w:noProof/>
            <w:webHidden/>
          </w:rPr>
          <w:instrText xml:space="preserve"> PAGEREF _Toc287342536 \h </w:instrText>
        </w:r>
        <w:r w:rsidR="00951EB5">
          <w:rPr>
            <w:noProof/>
            <w:webHidden/>
          </w:rPr>
        </w:r>
        <w:r w:rsidR="00951EB5">
          <w:rPr>
            <w:noProof/>
            <w:webHidden/>
          </w:rPr>
          <w:fldChar w:fldCharType="separate"/>
        </w:r>
        <w:r w:rsidR="00544739">
          <w:rPr>
            <w:noProof/>
            <w:webHidden/>
          </w:rPr>
          <w:t>65</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7" w:history="1">
        <w:r w:rsidR="009E7793" w:rsidRPr="00E11B85">
          <w:rPr>
            <w:rStyle w:val="Hyperlink"/>
            <w:rFonts w:ascii="Arial" w:hAnsi="Arial" w:cs="Arial"/>
            <w:noProof/>
          </w:rPr>
          <w:t>2.8</w:t>
        </w:r>
        <w:r w:rsidR="009E7793">
          <w:rPr>
            <w:smallCaps w:val="0"/>
            <w:noProof/>
            <w:sz w:val="22"/>
            <w:szCs w:val="22"/>
          </w:rPr>
          <w:tab/>
        </w:r>
        <w:r w:rsidR="009E7793" w:rsidRPr="00E11B85">
          <w:rPr>
            <w:rStyle w:val="Hyperlink"/>
            <w:rFonts w:ascii="Arial" w:hAnsi="Arial" w:cs="Arial"/>
            <w:noProof/>
          </w:rPr>
          <w:t>Councillor and employee benefits</w:t>
        </w:r>
        <w:r w:rsidR="009E7793">
          <w:rPr>
            <w:noProof/>
            <w:webHidden/>
          </w:rPr>
          <w:tab/>
        </w:r>
        <w:r w:rsidR="00951EB5">
          <w:rPr>
            <w:noProof/>
            <w:webHidden/>
          </w:rPr>
          <w:fldChar w:fldCharType="begin"/>
        </w:r>
        <w:r w:rsidR="009E7793">
          <w:rPr>
            <w:noProof/>
            <w:webHidden/>
          </w:rPr>
          <w:instrText xml:space="preserve"> PAGEREF _Toc287342537 \h </w:instrText>
        </w:r>
        <w:r w:rsidR="00951EB5">
          <w:rPr>
            <w:noProof/>
            <w:webHidden/>
          </w:rPr>
        </w:r>
        <w:r w:rsidR="00951EB5">
          <w:rPr>
            <w:noProof/>
            <w:webHidden/>
          </w:rPr>
          <w:fldChar w:fldCharType="separate"/>
        </w:r>
        <w:r w:rsidR="00544739">
          <w:rPr>
            <w:noProof/>
            <w:webHidden/>
          </w:rPr>
          <w:t>67</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38" w:history="1">
        <w:r w:rsidR="009E7793" w:rsidRPr="00E11B85">
          <w:rPr>
            <w:rStyle w:val="Hyperlink"/>
            <w:rFonts w:ascii="Arial" w:hAnsi="Arial" w:cs="Arial"/>
            <w:noProof/>
          </w:rPr>
          <w:t>2.9</w:t>
        </w:r>
        <w:r w:rsidR="009E7793">
          <w:rPr>
            <w:smallCaps w:val="0"/>
            <w:noProof/>
            <w:sz w:val="22"/>
            <w:szCs w:val="22"/>
          </w:rPr>
          <w:tab/>
        </w:r>
        <w:r w:rsidR="009E7793" w:rsidRPr="00E11B85">
          <w:rPr>
            <w:rStyle w:val="Hyperlink"/>
            <w:rFonts w:ascii="Arial" w:hAnsi="Arial" w:cs="Arial"/>
            <w:noProof/>
          </w:rPr>
          <w:t>Monthly targets for revenue, expenditure and cash flow</w:t>
        </w:r>
        <w:r w:rsidR="009E7793">
          <w:rPr>
            <w:noProof/>
            <w:webHidden/>
          </w:rPr>
          <w:tab/>
        </w:r>
        <w:r w:rsidR="00951EB5">
          <w:rPr>
            <w:noProof/>
            <w:webHidden/>
          </w:rPr>
          <w:fldChar w:fldCharType="begin"/>
        </w:r>
        <w:r w:rsidR="009E7793">
          <w:rPr>
            <w:noProof/>
            <w:webHidden/>
          </w:rPr>
          <w:instrText xml:space="preserve"> PAGEREF _Toc287342538 \h </w:instrText>
        </w:r>
        <w:r w:rsidR="00951EB5">
          <w:rPr>
            <w:noProof/>
            <w:webHidden/>
          </w:rPr>
        </w:r>
        <w:r w:rsidR="00951EB5">
          <w:rPr>
            <w:noProof/>
            <w:webHidden/>
          </w:rPr>
          <w:fldChar w:fldCharType="separate"/>
        </w:r>
        <w:r w:rsidR="00544739">
          <w:rPr>
            <w:noProof/>
            <w:webHidden/>
          </w:rPr>
          <w:t>69</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40" w:history="1">
        <w:r w:rsidR="009E7793" w:rsidRPr="00E11B85">
          <w:rPr>
            <w:rStyle w:val="Hyperlink"/>
            <w:rFonts w:ascii="Arial" w:hAnsi="Arial" w:cs="Arial"/>
            <w:noProof/>
          </w:rPr>
          <w:t>2.11</w:t>
        </w:r>
        <w:r w:rsidR="009E7793">
          <w:rPr>
            <w:smallCaps w:val="0"/>
            <w:noProof/>
            <w:sz w:val="22"/>
            <w:szCs w:val="22"/>
          </w:rPr>
          <w:tab/>
        </w:r>
        <w:r w:rsidR="009E7793" w:rsidRPr="00E11B85">
          <w:rPr>
            <w:rStyle w:val="Hyperlink"/>
            <w:rFonts w:ascii="Arial" w:hAnsi="Arial" w:cs="Arial"/>
            <w:noProof/>
          </w:rPr>
          <w:t>Contracts having future budgetary implications</w:t>
        </w:r>
        <w:r w:rsidR="009E7793">
          <w:rPr>
            <w:noProof/>
            <w:webHidden/>
          </w:rPr>
          <w:tab/>
        </w:r>
        <w:r w:rsidR="00951EB5">
          <w:rPr>
            <w:noProof/>
            <w:webHidden/>
          </w:rPr>
          <w:fldChar w:fldCharType="begin"/>
        </w:r>
        <w:r w:rsidR="009E7793">
          <w:rPr>
            <w:noProof/>
            <w:webHidden/>
          </w:rPr>
          <w:instrText xml:space="preserve"> PAGEREF _Toc287342540 \h </w:instrText>
        </w:r>
        <w:r w:rsidR="00951EB5">
          <w:rPr>
            <w:noProof/>
            <w:webHidden/>
          </w:rPr>
        </w:r>
        <w:r w:rsidR="00951EB5">
          <w:rPr>
            <w:noProof/>
            <w:webHidden/>
          </w:rPr>
          <w:fldChar w:fldCharType="separate"/>
        </w:r>
        <w:r w:rsidR="00544739">
          <w:rPr>
            <w:noProof/>
            <w:webHidden/>
          </w:rPr>
          <w:t>77</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41" w:history="1">
        <w:r w:rsidR="009E7793" w:rsidRPr="00E11B85">
          <w:rPr>
            <w:rStyle w:val="Hyperlink"/>
            <w:rFonts w:ascii="Arial" w:hAnsi="Arial" w:cs="Arial"/>
            <w:noProof/>
          </w:rPr>
          <w:t>2.12</w:t>
        </w:r>
        <w:r w:rsidR="009E7793">
          <w:rPr>
            <w:smallCaps w:val="0"/>
            <w:noProof/>
            <w:sz w:val="22"/>
            <w:szCs w:val="22"/>
          </w:rPr>
          <w:tab/>
        </w:r>
        <w:r w:rsidR="009E7793" w:rsidRPr="00E11B85">
          <w:rPr>
            <w:rStyle w:val="Hyperlink"/>
            <w:rFonts w:ascii="Arial" w:hAnsi="Arial" w:cs="Arial"/>
            <w:noProof/>
          </w:rPr>
          <w:t>Capital expenditure details</w:t>
        </w:r>
        <w:r w:rsidR="009E7793">
          <w:rPr>
            <w:noProof/>
            <w:webHidden/>
          </w:rPr>
          <w:tab/>
        </w:r>
        <w:r w:rsidR="00951EB5">
          <w:rPr>
            <w:noProof/>
            <w:webHidden/>
          </w:rPr>
          <w:fldChar w:fldCharType="begin"/>
        </w:r>
        <w:r w:rsidR="009E7793">
          <w:rPr>
            <w:noProof/>
            <w:webHidden/>
          </w:rPr>
          <w:instrText xml:space="preserve"> PAGEREF _Toc287342541 \h </w:instrText>
        </w:r>
        <w:r w:rsidR="00951EB5">
          <w:rPr>
            <w:noProof/>
            <w:webHidden/>
          </w:rPr>
        </w:r>
        <w:r w:rsidR="00951EB5">
          <w:rPr>
            <w:noProof/>
            <w:webHidden/>
          </w:rPr>
          <w:fldChar w:fldCharType="separate"/>
        </w:r>
        <w:r w:rsidR="00544739">
          <w:rPr>
            <w:noProof/>
            <w:webHidden/>
          </w:rPr>
          <w:t>77</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42" w:history="1">
        <w:r w:rsidR="009E7793" w:rsidRPr="00E11B85">
          <w:rPr>
            <w:rStyle w:val="Hyperlink"/>
            <w:rFonts w:ascii="Arial" w:hAnsi="Arial" w:cs="Arial"/>
            <w:noProof/>
          </w:rPr>
          <w:t>2.13</w:t>
        </w:r>
        <w:r w:rsidR="009E7793">
          <w:rPr>
            <w:smallCaps w:val="0"/>
            <w:noProof/>
            <w:sz w:val="22"/>
            <w:szCs w:val="22"/>
          </w:rPr>
          <w:tab/>
        </w:r>
        <w:r w:rsidR="009E7793" w:rsidRPr="00E11B85">
          <w:rPr>
            <w:rStyle w:val="Hyperlink"/>
            <w:rFonts w:ascii="Arial" w:hAnsi="Arial" w:cs="Arial"/>
            <w:noProof/>
          </w:rPr>
          <w:t>Legislation compliance status</w:t>
        </w:r>
        <w:r w:rsidR="009E7793">
          <w:rPr>
            <w:noProof/>
            <w:webHidden/>
          </w:rPr>
          <w:tab/>
        </w:r>
        <w:r w:rsidR="00951EB5">
          <w:rPr>
            <w:noProof/>
            <w:webHidden/>
          </w:rPr>
          <w:fldChar w:fldCharType="begin"/>
        </w:r>
        <w:r w:rsidR="009E7793">
          <w:rPr>
            <w:noProof/>
            <w:webHidden/>
          </w:rPr>
          <w:instrText xml:space="preserve"> PAGEREF _Toc287342542 \h </w:instrText>
        </w:r>
        <w:r w:rsidR="00951EB5">
          <w:rPr>
            <w:noProof/>
            <w:webHidden/>
          </w:rPr>
        </w:r>
        <w:r w:rsidR="00951EB5">
          <w:rPr>
            <w:noProof/>
            <w:webHidden/>
          </w:rPr>
          <w:fldChar w:fldCharType="separate"/>
        </w:r>
        <w:r w:rsidR="00544739">
          <w:rPr>
            <w:noProof/>
            <w:webHidden/>
          </w:rPr>
          <w:t>83</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43" w:history="1">
        <w:r w:rsidR="009E7793" w:rsidRPr="00E11B85">
          <w:rPr>
            <w:rStyle w:val="Hyperlink"/>
            <w:rFonts w:ascii="Arial" w:hAnsi="Arial" w:cs="Arial"/>
            <w:noProof/>
          </w:rPr>
          <w:t>2.14</w:t>
        </w:r>
        <w:r w:rsidR="009E7793">
          <w:rPr>
            <w:smallCaps w:val="0"/>
            <w:noProof/>
            <w:sz w:val="22"/>
            <w:szCs w:val="22"/>
          </w:rPr>
          <w:tab/>
        </w:r>
        <w:r w:rsidR="009E7793" w:rsidRPr="00E11B85">
          <w:rPr>
            <w:rStyle w:val="Hyperlink"/>
            <w:rFonts w:ascii="Arial" w:hAnsi="Arial" w:cs="Arial"/>
            <w:noProof/>
          </w:rPr>
          <w:t>Other supporting documents</w:t>
        </w:r>
        <w:r w:rsidR="009E7793">
          <w:rPr>
            <w:noProof/>
            <w:webHidden/>
          </w:rPr>
          <w:tab/>
        </w:r>
        <w:r w:rsidR="00951EB5">
          <w:rPr>
            <w:noProof/>
            <w:webHidden/>
          </w:rPr>
          <w:fldChar w:fldCharType="begin"/>
        </w:r>
        <w:r w:rsidR="009E7793">
          <w:rPr>
            <w:noProof/>
            <w:webHidden/>
          </w:rPr>
          <w:instrText xml:space="preserve"> PAGEREF _Toc287342543 \h </w:instrText>
        </w:r>
        <w:r w:rsidR="00951EB5">
          <w:rPr>
            <w:noProof/>
            <w:webHidden/>
          </w:rPr>
        </w:r>
        <w:r w:rsidR="00951EB5">
          <w:rPr>
            <w:noProof/>
            <w:webHidden/>
          </w:rPr>
          <w:fldChar w:fldCharType="separate"/>
        </w:r>
        <w:r w:rsidR="00544739">
          <w:rPr>
            <w:noProof/>
            <w:webHidden/>
          </w:rPr>
          <w:t>84</w:t>
        </w:r>
        <w:r w:rsidR="00951EB5">
          <w:rPr>
            <w:noProof/>
            <w:webHidden/>
          </w:rPr>
          <w:fldChar w:fldCharType="end"/>
        </w:r>
      </w:hyperlink>
    </w:p>
    <w:p w:rsidR="009E7793" w:rsidRDefault="00E319FD">
      <w:pPr>
        <w:pStyle w:val="TOC2"/>
        <w:tabs>
          <w:tab w:val="left" w:pos="880"/>
          <w:tab w:val="right" w:leader="dot" w:pos="9350"/>
        </w:tabs>
        <w:rPr>
          <w:smallCaps w:val="0"/>
          <w:noProof/>
          <w:sz w:val="22"/>
          <w:szCs w:val="22"/>
        </w:rPr>
      </w:pPr>
      <w:hyperlink w:anchor="_Toc287342544" w:history="1">
        <w:r w:rsidR="009E7793" w:rsidRPr="00E11B85">
          <w:rPr>
            <w:rStyle w:val="Hyperlink"/>
            <w:rFonts w:ascii="Arial" w:hAnsi="Arial" w:cs="Arial"/>
            <w:noProof/>
          </w:rPr>
          <w:t>2.15</w:t>
        </w:r>
        <w:r w:rsidR="009E7793">
          <w:rPr>
            <w:smallCaps w:val="0"/>
            <w:noProof/>
            <w:sz w:val="22"/>
            <w:szCs w:val="22"/>
          </w:rPr>
          <w:tab/>
        </w:r>
        <w:r w:rsidR="009E7793" w:rsidRPr="00E11B85">
          <w:rPr>
            <w:rStyle w:val="Hyperlink"/>
            <w:rFonts w:ascii="Arial" w:hAnsi="Arial" w:cs="Arial"/>
            <w:noProof/>
          </w:rPr>
          <w:t>Municipal manager’s quality certificate</w:t>
        </w:r>
        <w:r w:rsidR="009E7793">
          <w:rPr>
            <w:noProof/>
            <w:webHidden/>
          </w:rPr>
          <w:tab/>
        </w:r>
        <w:r w:rsidR="00951EB5">
          <w:rPr>
            <w:noProof/>
            <w:webHidden/>
          </w:rPr>
          <w:fldChar w:fldCharType="begin"/>
        </w:r>
        <w:r w:rsidR="009E7793">
          <w:rPr>
            <w:noProof/>
            <w:webHidden/>
          </w:rPr>
          <w:instrText xml:space="preserve"> PAGEREF _Toc287342544 \h </w:instrText>
        </w:r>
        <w:r w:rsidR="00951EB5">
          <w:rPr>
            <w:noProof/>
            <w:webHidden/>
          </w:rPr>
        </w:r>
        <w:r w:rsidR="00951EB5">
          <w:rPr>
            <w:noProof/>
            <w:webHidden/>
          </w:rPr>
          <w:fldChar w:fldCharType="separate"/>
        </w:r>
        <w:r w:rsidR="00544739">
          <w:rPr>
            <w:noProof/>
            <w:webHidden/>
          </w:rPr>
          <w:t>90</w:t>
        </w:r>
        <w:r w:rsidR="00951EB5">
          <w:rPr>
            <w:noProof/>
            <w:webHidden/>
          </w:rPr>
          <w:fldChar w:fldCharType="end"/>
        </w:r>
      </w:hyperlink>
    </w:p>
    <w:p w:rsidR="008D6BA7" w:rsidRPr="00EC6103" w:rsidRDefault="00951EB5" w:rsidP="00EC6103">
      <w:pPr>
        <w:rPr>
          <w:rFonts w:ascii="Arial" w:hAnsi="Arial" w:cs="Arial"/>
          <w:b/>
          <w:sz w:val="26"/>
          <w:szCs w:val="26"/>
        </w:rPr>
      </w:pPr>
      <w:r>
        <w:rPr>
          <w:rFonts w:ascii="Arial" w:hAnsi="Arial" w:cs="Arial"/>
          <w:b/>
          <w:sz w:val="26"/>
          <w:szCs w:val="26"/>
        </w:rPr>
        <w:fldChar w:fldCharType="end"/>
      </w:r>
    </w:p>
    <w:p w:rsidR="003E133E" w:rsidRDefault="003E133E" w:rsidP="001A4CB2">
      <w:pPr>
        <w:rPr>
          <w:rFonts w:ascii="Arial" w:hAnsi="Arial" w:cs="Arial"/>
          <w:b/>
          <w:sz w:val="28"/>
          <w:szCs w:val="28"/>
        </w:rPr>
      </w:pPr>
      <w:bookmarkStart w:id="1" w:name="_Toc286034087"/>
      <w:bookmarkStart w:id="2" w:name="_Toc286034678"/>
      <w:r>
        <w:rPr>
          <w:rFonts w:ascii="Arial" w:hAnsi="Arial" w:cs="Arial"/>
          <w:b/>
          <w:sz w:val="28"/>
          <w:szCs w:val="28"/>
        </w:rPr>
        <w:t>List of Tables</w:t>
      </w:r>
    </w:p>
    <w:p w:rsidR="009E7793" w:rsidRDefault="00951EB5">
      <w:pPr>
        <w:pStyle w:val="TableofFigures"/>
        <w:tabs>
          <w:tab w:val="right" w:leader="dot" w:pos="9350"/>
        </w:tabs>
        <w:rPr>
          <w:noProof/>
        </w:rPr>
      </w:pPr>
      <w:r>
        <w:rPr>
          <w:rFonts w:ascii="Arial" w:hAnsi="Arial" w:cs="Arial"/>
          <w:b/>
          <w:sz w:val="28"/>
          <w:szCs w:val="28"/>
        </w:rPr>
        <w:fldChar w:fldCharType="begin"/>
      </w:r>
      <w:r w:rsidR="003E133E">
        <w:rPr>
          <w:rFonts w:ascii="Arial" w:hAnsi="Arial" w:cs="Arial"/>
          <w:b/>
          <w:sz w:val="28"/>
          <w:szCs w:val="28"/>
        </w:rPr>
        <w:instrText xml:space="preserve"> TOC \h \z \c "Table" </w:instrText>
      </w:r>
      <w:r>
        <w:rPr>
          <w:rFonts w:ascii="Arial" w:hAnsi="Arial" w:cs="Arial"/>
          <w:b/>
          <w:sz w:val="28"/>
          <w:szCs w:val="28"/>
        </w:rPr>
        <w:fldChar w:fldCharType="separate"/>
      </w:r>
      <w:hyperlink w:anchor="_Toc287342442" w:history="1">
        <w:r w:rsidR="009E7793" w:rsidRPr="000A4B2F">
          <w:rPr>
            <w:rStyle w:val="Hyperlink"/>
            <w:noProof/>
          </w:rPr>
          <w:t xml:space="preserve">Table 1 </w:t>
        </w:r>
        <w:r w:rsidR="009E7793" w:rsidRPr="000A4B2F">
          <w:rPr>
            <w:rStyle w:val="Hyperlink"/>
            <w:rFonts w:cs="Arial"/>
            <w:noProof/>
          </w:rPr>
          <w:t xml:space="preserve"> Cons</w:t>
        </w:r>
        <w:r w:rsidR="004F7739">
          <w:rPr>
            <w:rStyle w:val="Hyperlink"/>
            <w:rFonts w:cs="Arial"/>
            <w:noProof/>
          </w:rPr>
          <w:t xml:space="preserve">olidated Overview of the </w:t>
        </w:r>
        <w:r w:rsidR="00E319FD">
          <w:rPr>
            <w:rStyle w:val="Hyperlink"/>
            <w:rFonts w:cs="Arial"/>
            <w:noProof/>
          </w:rPr>
          <w:t>2019/20</w:t>
        </w:r>
        <w:r w:rsidR="009E7793" w:rsidRPr="000A4B2F">
          <w:rPr>
            <w:rStyle w:val="Hyperlink"/>
            <w:rFonts w:cs="Arial"/>
            <w:noProof/>
          </w:rPr>
          <w:t xml:space="preserve"> MTREF</w:t>
        </w:r>
        <w:r w:rsidR="009E7793">
          <w:rPr>
            <w:noProof/>
            <w:webHidden/>
          </w:rPr>
          <w:tab/>
        </w:r>
        <w:r>
          <w:rPr>
            <w:noProof/>
            <w:webHidden/>
          </w:rPr>
          <w:fldChar w:fldCharType="begin"/>
        </w:r>
        <w:r w:rsidR="009E7793">
          <w:rPr>
            <w:noProof/>
            <w:webHidden/>
          </w:rPr>
          <w:instrText xml:space="preserve"> PAGEREF _Toc287342442 \h </w:instrText>
        </w:r>
        <w:r>
          <w:rPr>
            <w:noProof/>
            <w:webHidden/>
          </w:rPr>
        </w:r>
        <w:r>
          <w:rPr>
            <w:noProof/>
            <w:webHidden/>
          </w:rPr>
          <w:fldChar w:fldCharType="separate"/>
        </w:r>
        <w:r w:rsidR="00544739">
          <w:rPr>
            <w:noProof/>
            <w:webHidden/>
          </w:rPr>
          <w:t>4</w:t>
        </w:r>
        <w:r>
          <w:rPr>
            <w:noProof/>
            <w:webHidden/>
          </w:rPr>
          <w:fldChar w:fldCharType="end"/>
        </w:r>
      </w:hyperlink>
    </w:p>
    <w:p w:rsidR="009E7793" w:rsidRDefault="00E319FD">
      <w:pPr>
        <w:pStyle w:val="TableofFigures"/>
        <w:tabs>
          <w:tab w:val="right" w:leader="dot" w:pos="9350"/>
        </w:tabs>
        <w:rPr>
          <w:noProof/>
        </w:rPr>
      </w:pPr>
      <w:hyperlink w:anchor="_Toc287342443" w:history="1">
        <w:r w:rsidR="009E7793" w:rsidRPr="000A4B2F">
          <w:rPr>
            <w:rStyle w:val="Hyperlink"/>
            <w:noProof/>
          </w:rPr>
          <w:t>Table 2  Summary of revenue classified by main revenue source</w:t>
        </w:r>
        <w:r w:rsidR="009E7793">
          <w:rPr>
            <w:noProof/>
            <w:webHidden/>
          </w:rPr>
          <w:tab/>
        </w:r>
        <w:r w:rsidR="00951EB5">
          <w:rPr>
            <w:noProof/>
            <w:webHidden/>
          </w:rPr>
          <w:fldChar w:fldCharType="begin"/>
        </w:r>
        <w:r w:rsidR="009E7793">
          <w:rPr>
            <w:noProof/>
            <w:webHidden/>
          </w:rPr>
          <w:instrText xml:space="preserve"> PAGEREF _Toc287342443 \h </w:instrText>
        </w:r>
        <w:r w:rsidR="00951EB5">
          <w:rPr>
            <w:noProof/>
            <w:webHidden/>
          </w:rPr>
        </w:r>
        <w:r w:rsidR="00951EB5">
          <w:rPr>
            <w:noProof/>
            <w:webHidden/>
          </w:rPr>
          <w:fldChar w:fldCharType="separate"/>
        </w:r>
        <w:r w:rsidR="00544739">
          <w:rPr>
            <w:noProof/>
            <w:webHidden/>
          </w:rPr>
          <w:t>5</w:t>
        </w:r>
        <w:r w:rsidR="00951EB5">
          <w:rPr>
            <w:noProof/>
            <w:webHidden/>
          </w:rPr>
          <w:fldChar w:fldCharType="end"/>
        </w:r>
      </w:hyperlink>
    </w:p>
    <w:p w:rsidR="009E7793" w:rsidRDefault="00E319FD">
      <w:pPr>
        <w:pStyle w:val="TableofFigures"/>
        <w:tabs>
          <w:tab w:val="right" w:leader="dot" w:pos="9350"/>
        </w:tabs>
        <w:rPr>
          <w:noProof/>
        </w:rPr>
      </w:pPr>
      <w:hyperlink w:anchor="_Toc287342444" w:history="1">
        <w:r w:rsidR="009E7793" w:rsidRPr="000A4B2F">
          <w:rPr>
            <w:rStyle w:val="Hyperlink"/>
            <w:noProof/>
          </w:rPr>
          <w:t>Table 3  Percentage growth in revenue by main revenue source</w:t>
        </w:r>
        <w:r w:rsidR="009E7793">
          <w:rPr>
            <w:noProof/>
            <w:webHidden/>
          </w:rPr>
          <w:tab/>
        </w:r>
        <w:r w:rsidR="00951EB5">
          <w:rPr>
            <w:noProof/>
            <w:webHidden/>
          </w:rPr>
          <w:fldChar w:fldCharType="begin"/>
        </w:r>
        <w:r w:rsidR="009E7793">
          <w:rPr>
            <w:noProof/>
            <w:webHidden/>
          </w:rPr>
          <w:instrText xml:space="preserve"> PAGEREF _Toc287342444 \h </w:instrText>
        </w:r>
        <w:r w:rsidR="00951EB5">
          <w:rPr>
            <w:noProof/>
            <w:webHidden/>
          </w:rPr>
        </w:r>
        <w:r w:rsidR="00951EB5">
          <w:rPr>
            <w:noProof/>
            <w:webHidden/>
          </w:rPr>
          <w:fldChar w:fldCharType="separate"/>
        </w:r>
        <w:r w:rsidR="00544739">
          <w:rPr>
            <w:noProof/>
            <w:webHidden/>
          </w:rPr>
          <w:t>6</w:t>
        </w:r>
        <w:r w:rsidR="00951EB5">
          <w:rPr>
            <w:noProof/>
            <w:webHidden/>
          </w:rPr>
          <w:fldChar w:fldCharType="end"/>
        </w:r>
      </w:hyperlink>
    </w:p>
    <w:p w:rsidR="009E7793" w:rsidRDefault="00E319FD">
      <w:pPr>
        <w:pStyle w:val="TableofFigures"/>
        <w:tabs>
          <w:tab w:val="right" w:leader="dot" w:pos="9350"/>
        </w:tabs>
        <w:rPr>
          <w:noProof/>
        </w:rPr>
      </w:pPr>
      <w:hyperlink w:anchor="_Toc287342445" w:history="1">
        <w:r w:rsidR="009E7793" w:rsidRPr="000A4B2F">
          <w:rPr>
            <w:rStyle w:val="Hyperlink"/>
            <w:noProof/>
          </w:rPr>
          <w:t>Table 4  Operating Transfers and Grant Receipts</w:t>
        </w:r>
        <w:r w:rsidR="009E7793">
          <w:rPr>
            <w:noProof/>
            <w:webHidden/>
          </w:rPr>
          <w:tab/>
        </w:r>
        <w:r w:rsidR="00951EB5">
          <w:rPr>
            <w:noProof/>
            <w:webHidden/>
          </w:rPr>
          <w:fldChar w:fldCharType="begin"/>
        </w:r>
        <w:r w:rsidR="009E7793">
          <w:rPr>
            <w:noProof/>
            <w:webHidden/>
          </w:rPr>
          <w:instrText xml:space="preserve"> PAGEREF _Toc287342445 \h </w:instrText>
        </w:r>
        <w:r w:rsidR="00951EB5">
          <w:rPr>
            <w:noProof/>
            <w:webHidden/>
          </w:rPr>
        </w:r>
        <w:r w:rsidR="00951EB5">
          <w:rPr>
            <w:noProof/>
            <w:webHidden/>
          </w:rPr>
          <w:fldChar w:fldCharType="separate"/>
        </w:r>
        <w:r w:rsidR="00544739">
          <w:rPr>
            <w:noProof/>
            <w:webHidden/>
          </w:rPr>
          <w:t>7</w:t>
        </w:r>
        <w:r w:rsidR="00951EB5">
          <w:rPr>
            <w:noProof/>
            <w:webHidden/>
          </w:rPr>
          <w:fldChar w:fldCharType="end"/>
        </w:r>
      </w:hyperlink>
    </w:p>
    <w:p w:rsidR="009E7793" w:rsidRDefault="00E319FD">
      <w:pPr>
        <w:pStyle w:val="TableofFigures"/>
        <w:tabs>
          <w:tab w:val="right" w:leader="dot" w:pos="9350"/>
        </w:tabs>
        <w:rPr>
          <w:noProof/>
        </w:rPr>
      </w:pPr>
      <w:hyperlink w:anchor="_Toc287342446" w:history="1">
        <w:r w:rsidR="009E7793" w:rsidRPr="000A4B2F">
          <w:rPr>
            <w:rStyle w:val="Hyperlink"/>
            <w:noProof/>
          </w:rPr>
          <w:t>Table 5  Comparison of proposed</w:t>
        </w:r>
        <w:r w:rsidR="004F7739">
          <w:rPr>
            <w:rStyle w:val="Hyperlink"/>
            <w:noProof/>
          </w:rPr>
          <w:t xml:space="preserve"> rates to levied for the </w:t>
        </w:r>
        <w:r>
          <w:rPr>
            <w:rStyle w:val="Hyperlink"/>
            <w:noProof/>
          </w:rPr>
          <w:t>2019/20</w:t>
        </w:r>
        <w:r w:rsidR="009E7793" w:rsidRPr="000A4B2F">
          <w:rPr>
            <w:rStyle w:val="Hyperlink"/>
            <w:noProof/>
          </w:rPr>
          <w:t xml:space="preserve"> financial year</w:t>
        </w:r>
        <w:r w:rsidR="009E7793">
          <w:rPr>
            <w:noProof/>
            <w:webHidden/>
          </w:rPr>
          <w:tab/>
        </w:r>
        <w:r w:rsidR="00951EB5">
          <w:rPr>
            <w:noProof/>
            <w:webHidden/>
          </w:rPr>
          <w:fldChar w:fldCharType="begin"/>
        </w:r>
        <w:r w:rsidR="009E7793">
          <w:rPr>
            <w:noProof/>
            <w:webHidden/>
          </w:rPr>
          <w:instrText xml:space="preserve"> PAGEREF _Toc287342446 \h </w:instrText>
        </w:r>
        <w:r w:rsidR="00951EB5">
          <w:rPr>
            <w:noProof/>
            <w:webHidden/>
          </w:rPr>
        </w:r>
        <w:r w:rsidR="00951EB5">
          <w:rPr>
            <w:noProof/>
            <w:webHidden/>
          </w:rPr>
          <w:fldChar w:fldCharType="separate"/>
        </w:r>
        <w:r w:rsidR="00544739">
          <w:rPr>
            <w:noProof/>
            <w:webHidden/>
          </w:rPr>
          <w:t>8</w:t>
        </w:r>
        <w:r w:rsidR="00951EB5">
          <w:rPr>
            <w:noProof/>
            <w:webHidden/>
          </w:rPr>
          <w:fldChar w:fldCharType="end"/>
        </w:r>
      </w:hyperlink>
    </w:p>
    <w:p w:rsidR="009E7793" w:rsidRDefault="00E319FD">
      <w:pPr>
        <w:pStyle w:val="TableofFigures"/>
        <w:tabs>
          <w:tab w:val="right" w:leader="dot" w:pos="9350"/>
        </w:tabs>
        <w:rPr>
          <w:noProof/>
        </w:rPr>
      </w:pPr>
      <w:hyperlink w:anchor="_Toc287342449" w:history="1">
        <w:r w:rsidR="009E7793" w:rsidRPr="000A4B2F">
          <w:rPr>
            <w:rStyle w:val="Hyperlink"/>
            <w:noProof/>
          </w:rPr>
          <w:t>Table 8  Comparison between current electricity charges and increases (Domestic)</w:t>
        </w:r>
        <w:r w:rsidR="009E7793">
          <w:rPr>
            <w:noProof/>
            <w:webHidden/>
          </w:rPr>
          <w:tab/>
        </w:r>
        <w:r w:rsidR="00951EB5">
          <w:rPr>
            <w:noProof/>
            <w:webHidden/>
          </w:rPr>
          <w:fldChar w:fldCharType="begin"/>
        </w:r>
        <w:r w:rsidR="009E7793">
          <w:rPr>
            <w:noProof/>
            <w:webHidden/>
          </w:rPr>
          <w:instrText xml:space="preserve"> PAGEREF _Toc287342449 \h </w:instrText>
        </w:r>
        <w:r w:rsidR="00951EB5">
          <w:rPr>
            <w:noProof/>
            <w:webHidden/>
          </w:rPr>
        </w:r>
        <w:r w:rsidR="00951EB5">
          <w:rPr>
            <w:noProof/>
            <w:webHidden/>
          </w:rPr>
          <w:fldChar w:fldCharType="separate"/>
        </w:r>
        <w:r w:rsidR="00544739">
          <w:rPr>
            <w:noProof/>
            <w:webHidden/>
          </w:rPr>
          <w:t>10</w:t>
        </w:r>
        <w:r w:rsidR="00951EB5">
          <w:rPr>
            <w:noProof/>
            <w:webHidden/>
          </w:rPr>
          <w:fldChar w:fldCharType="end"/>
        </w:r>
      </w:hyperlink>
    </w:p>
    <w:p w:rsidR="009E7793" w:rsidRDefault="00E319FD">
      <w:pPr>
        <w:pStyle w:val="TableofFigures"/>
        <w:tabs>
          <w:tab w:val="right" w:leader="dot" w:pos="9350"/>
        </w:tabs>
        <w:rPr>
          <w:noProof/>
        </w:rPr>
      </w:pPr>
      <w:hyperlink w:anchor="_Toc287342453" w:history="1">
        <w:r w:rsidR="009E7793" w:rsidRPr="000A4B2F">
          <w:rPr>
            <w:rStyle w:val="Hyperlink"/>
            <w:noProof/>
          </w:rPr>
          <w:t>Table 12  MBRR Table SA14 – Household bills</w:t>
        </w:r>
        <w:r w:rsidR="009E7793">
          <w:rPr>
            <w:noProof/>
            <w:webHidden/>
          </w:rPr>
          <w:tab/>
        </w:r>
        <w:r w:rsidR="00951EB5">
          <w:rPr>
            <w:noProof/>
            <w:webHidden/>
          </w:rPr>
          <w:fldChar w:fldCharType="begin"/>
        </w:r>
        <w:r w:rsidR="009E7793">
          <w:rPr>
            <w:noProof/>
            <w:webHidden/>
          </w:rPr>
          <w:instrText xml:space="preserve"> PAGEREF _Toc287342453 \h </w:instrText>
        </w:r>
        <w:r w:rsidR="00951EB5">
          <w:rPr>
            <w:noProof/>
            <w:webHidden/>
          </w:rPr>
        </w:r>
        <w:r w:rsidR="00951EB5">
          <w:rPr>
            <w:noProof/>
            <w:webHidden/>
          </w:rPr>
          <w:fldChar w:fldCharType="separate"/>
        </w:r>
        <w:r w:rsidR="00544739">
          <w:rPr>
            <w:noProof/>
            <w:webHidden/>
          </w:rPr>
          <w:t>11</w:t>
        </w:r>
        <w:r w:rsidR="00951EB5">
          <w:rPr>
            <w:noProof/>
            <w:webHidden/>
          </w:rPr>
          <w:fldChar w:fldCharType="end"/>
        </w:r>
      </w:hyperlink>
    </w:p>
    <w:p w:rsidR="009E7793" w:rsidRDefault="00E319FD">
      <w:pPr>
        <w:pStyle w:val="TableofFigures"/>
        <w:tabs>
          <w:tab w:val="right" w:leader="dot" w:pos="9350"/>
        </w:tabs>
        <w:rPr>
          <w:noProof/>
        </w:rPr>
      </w:pPr>
      <w:hyperlink w:anchor="_Toc287342454" w:history="1">
        <w:r w:rsidR="009E7793" w:rsidRPr="000A4B2F">
          <w:rPr>
            <w:rStyle w:val="Hyperlink"/>
            <w:noProof/>
          </w:rPr>
          <w:t>Table 13  Summary of operating expenditure by standard classification item</w:t>
        </w:r>
        <w:r w:rsidR="009E7793">
          <w:rPr>
            <w:noProof/>
            <w:webHidden/>
          </w:rPr>
          <w:tab/>
        </w:r>
        <w:r w:rsidR="00951EB5">
          <w:rPr>
            <w:noProof/>
            <w:webHidden/>
          </w:rPr>
          <w:fldChar w:fldCharType="begin"/>
        </w:r>
        <w:r w:rsidR="009E7793">
          <w:rPr>
            <w:noProof/>
            <w:webHidden/>
          </w:rPr>
          <w:instrText xml:space="preserve"> PAGEREF _Toc287342454 \h </w:instrText>
        </w:r>
        <w:r w:rsidR="00951EB5">
          <w:rPr>
            <w:noProof/>
            <w:webHidden/>
          </w:rPr>
        </w:r>
        <w:r w:rsidR="00951EB5">
          <w:rPr>
            <w:noProof/>
            <w:webHidden/>
          </w:rPr>
          <w:fldChar w:fldCharType="separate"/>
        </w:r>
        <w:r w:rsidR="00544739">
          <w:rPr>
            <w:noProof/>
            <w:webHidden/>
          </w:rPr>
          <w:t>12</w:t>
        </w:r>
        <w:r w:rsidR="00951EB5">
          <w:rPr>
            <w:noProof/>
            <w:webHidden/>
          </w:rPr>
          <w:fldChar w:fldCharType="end"/>
        </w:r>
      </w:hyperlink>
    </w:p>
    <w:p w:rsidR="009E7793" w:rsidRDefault="00E319FD">
      <w:pPr>
        <w:pStyle w:val="TableofFigures"/>
        <w:tabs>
          <w:tab w:val="right" w:leader="dot" w:pos="9350"/>
        </w:tabs>
        <w:rPr>
          <w:noProof/>
        </w:rPr>
      </w:pPr>
      <w:hyperlink w:anchor="_Toc287342455" w:history="1">
        <w:r w:rsidR="009E7793" w:rsidRPr="000A4B2F">
          <w:rPr>
            <w:rStyle w:val="Hyperlink"/>
            <w:noProof/>
          </w:rPr>
          <w:t>Table 14  Operational repairs and maintenance</w:t>
        </w:r>
        <w:r w:rsidR="009E7793">
          <w:rPr>
            <w:noProof/>
            <w:webHidden/>
          </w:rPr>
          <w:tab/>
        </w:r>
        <w:r w:rsidR="00951EB5">
          <w:rPr>
            <w:noProof/>
            <w:webHidden/>
          </w:rPr>
          <w:fldChar w:fldCharType="begin"/>
        </w:r>
        <w:r w:rsidR="009E7793">
          <w:rPr>
            <w:noProof/>
            <w:webHidden/>
          </w:rPr>
          <w:instrText xml:space="preserve"> PAGEREF _Toc287342455 \h </w:instrText>
        </w:r>
        <w:r w:rsidR="00951EB5">
          <w:rPr>
            <w:noProof/>
            <w:webHidden/>
          </w:rPr>
        </w:r>
        <w:r w:rsidR="00951EB5">
          <w:rPr>
            <w:noProof/>
            <w:webHidden/>
          </w:rPr>
          <w:fldChar w:fldCharType="separate"/>
        </w:r>
        <w:r w:rsidR="00544739">
          <w:rPr>
            <w:noProof/>
            <w:webHidden/>
          </w:rPr>
          <w:t>14</w:t>
        </w:r>
        <w:r w:rsidR="00951EB5">
          <w:rPr>
            <w:noProof/>
            <w:webHidden/>
          </w:rPr>
          <w:fldChar w:fldCharType="end"/>
        </w:r>
      </w:hyperlink>
    </w:p>
    <w:p w:rsidR="009E7793" w:rsidRDefault="00E319FD">
      <w:pPr>
        <w:pStyle w:val="TableofFigures"/>
        <w:tabs>
          <w:tab w:val="right" w:leader="dot" w:pos="9350"/>
        </w:tabs>
        <w:rPr>
          <w:noProof/>
        </w:rPr>
      </w:pPr>
      <w:hyperlink w:anchor="_Toc287342456" w:history="1">
        <w:r w:rsidR="009E7793" w:rsidRPr="000A4B2F">
          <w:rPr>
            <w:rStyle w:val="Hyperlink"/>
            <w:noProof/>
          </w:rPr>
          <w:t>Table 15  Repairs and maintenance per asset class</w:t>
        </w:r>
        <w:r w:rsidR="009E7793">
          <w:rPr>
            <w:noProof/>
            <w:webHidden/>
          </w:rPr>
          <w:tab/>
        </w:r>
        <w:r w:rsidR="00951EB5">
          <w:rPr>
            <w:noProof/>
            <w:webHidden/>
          </w:rPr>
          <w:fldChar w:fldCharType="begin"/>
        </w:r>
        <w:r w:rsidR="009E7793">
          <w:rPr>
            <w:noProof/>
            <w:webHidden/>
          </w:rPr>
          <w:instrText xml:space="preserve"> PAGEREF _Toc287342456 \h </w:instrText>
        </w:r>
        <w:r w:rsidR="00951EB5">
          <w:rPr>
            <w:noProof/>
            <w:webHidden/>
          </w:rPr>
        </w:r>
        <w:r w:rsidR="00951EB5">
          <w:rPr>
            <w:noProof/>
            <w:webHidden/>
          </w:rPr>
          <w:fldChar w:fldCharType="separate"/>
        </w:r>
        <w:r w:rsidR="00544739">
          <w:rPr>
            <w:noProof/>
            <w:webHidden/>
          </w:rPr>
          <w:t>15</w:t>
        </w:r>
        <w:r w:rsidR="00951EB5">
          <w:rPr>
            <w:noProof/>
            <w:webHidden/>
          </w:rPr>
          <w:fldChar w:fldCharType="end"/>
        </w:r>
      </w:hyperlink>
    </w:p>
    <w:p w:rsidR="009E7793" w:rsidRDefault="00E319FD">
      <w:pPr>
        <w:pStyle w:val="TableofFigures"/>
        <w:tabs>
          <w:tab w:val="right" w:leader="dot" w:pos="9350"/>
        </w:tabs>
        <w:rPr>
          <w:noProof/>
        </w:rPr>
      </w:pPr>
      <w:hyperlink w:anchor="_Toc287342457" w:history="1">
        <w:r w:rsidR="004F7739">
          <w:rPr>
            <w:rStyle w:val="Hyperlink"/>
            <w:noProof/>
          </w:rPr>
          <w:t xml:space="preserve">Table 16  </w:t>
        </w:r>
        <w:r w:rsidR="001143B3">
          <w:rPr>
            <w:rStyle w:val="Hyperlink"/>
            <w:noProof/>
          </w:rPr>
          <w:t>2018/19</w:t>
        </w:r>
        <w:r w:rsidR="009E7793" w:rsidRPr="000A4B2F">
          <w:rPr>
            <w:rStyle w:val="Hyperlink"/>
            <w:noProof/>
          </w:rPr>
          <w:t xml:space="preserve"> Medium-term capital budget per vote</w:t>
        </w:r>
        <w:r w:rsidR="009E7793">
          <w:rPr>
            <w:noProof/>
            <w:webHidden/>
          </w:rPr>
          <w:tab/>
        </w:r>
        <w:r w:rsidR="00951EB5">
          <w:rPr>
            <w:noProof/>
            <w:webHidden/>
          </w:rPr>
          <w:fldChar w:fldCharType="begin"/>
        </w:r>
        <w:r w:rsidR="009E7793">
          <w:rPr>
            <w:noProof/>
            <w:webHidden/>
          </w:rPr>
          <w:instrText xml:space="preserve"> PAGEREF _Toc287342457 \h </w:instrText>
        </w:r>
        <w:r w:rsidR="00951EB5">
          <w:rPr>
            <w:noProof/>
            <w:webHidden/>
          </w:rPr>
        </w:r>
        <w:r w:rsidR="00951EB5">
          <w:rPr>
            <w:noProof/>
            <w:webHidden/>
          </w:rPr>
          <w:fldChar w:fldCharType="separate"/>
        </w:r>
        <w:r w:rsidR="00544739">
          <w:rPr>
            <w:noProof/>
            <w:webHidden/>
          </w:rPr>
          <w:t>16</w:t>
        </w:r>
        <w:r w:rsidR="00951EB5">
          <w:rPr>
            <w:noProof/>
            <w:webHidden/>
          </w:rPr>
          <w:fldChar w:fldCharType="end"/>
        </w:r>
      </w:hyperlink>
    </w:p>
    <w:p w:rsidR="009E7793" w:rsidRDefault="00E319FD">
      <w:pPr>
        <w:pStyle w:val="TableofFigures"/>
        <w:tabs>
          <w:tab w:val="right" w:leader="dot" w:pos="9350"/>
        </w:tabs>
        <w:rPr>
          <w:noProof/>
        </w:rPr>
      </w:pPr>
      <w:hyperlink w:anchor="_Toc287342458" w:history="1">
        <w:r w:rsidR="009E7793" w:rsidRPr="000A4B2F">
          <w:rPr>
            <w:rStyle w:val="Hyperlink"/>
            <w:noProof/>
          </w:rPr>
          <w:t>Table 17  MBRR Table A1 - Budget Summary</w:t>
        </w:r>
        <w:r w:rsidR="009E7793">
          <w:rPr>
            <w:noProof/>
            <w:webHidden/>
          </w:rPr>
          <w:tab/>
        </w:r>
        <w:r w:rsidR="00951EB5">
          <w:rPr>
            <w:noProof/>
            <w:webHidden/>
          </w:rPr>
          <w:fldChar w:fldCharType="begin"/>
        </w:r>
        <w:r w:rsidR="009E7793">
          <w:rPr>
            <w:noProof/>
            <w:webHidden/>
          </w:rPr>
          <w:instrText xml:space="preserve"> PAGEREF _Toc287342458 \h </w:instrText>
        </w:r>
        <w:r w:rsidR="00951EB5">
          <w:rPr>
            <w:noProof/>
            <w:webHidden/>
          </w:rPr>
        </w:r>
        <w:r w:rsidR="00951EB5">
          <w:rPr>
            <w:noProof/>
            <w:webHidden/>
          </w:rPr>
          <w:fldChar w:fldCharType="separate"/>
        </w:r>
        <w:r w:rsidR="00544739">
          <w:rPr>
            <w:noProof/>
            <w:webHidden/>
          </w:rPr>
          <w:t>18</w:t>
        </w:r>
        <w:r w:rsidR="00951EB5">
          <w:rPr>
            <w:noProof/>
            <w:webHidden/>
          </w:rPr>
          <w:fldChar w:fldCharType="end"/>
        </w:r>
      </w:hyperlink>
    </w:p>
    <w:p w:rsidR="009E7793" w:rsidRDefault="00E319FD">
      <w:pPr>
        <w:pStyle w:val="TableofFigures"/>
        <w:tabs>
          <w:tab w:val="right" w:leader="dot" w:pos="9350"/>
        </w:tabs>
        <w:rPr>
          <w:noProof/>
        </w:rPr>
      </w:pPr>
      <w:hyperlink w:anchor="_Toc287342459" w:history="1">
        <w:r w:rsidR="009E7793" w:rsidRPr="000A4B2F">
          <w:rPr>
            <w:rStyle w:val="Hyperlink"/>
            <w:noProof/>
          </w:rPr>
          <w:t>Table 18  MBRR Table A2 - Budgeted Financial Performance (revenue and expenditure by standard classification)</w:t>
        </w:r>
        <w:r w:rsidR="009E7793">
          <w:rPr>
            <w:noProof/>
            <w:webHidden/>
          </w:rPr>
          <w:tab/>
        </w:r>
        <w:r w:rsidR="00951EB5">
          <w:rPr>
            <w:noProof/>
            <w:webHidden/>
          </w:rPr>
          <w:fldChar w:fldCharType="begin"/>
        </w:r>
        <w:r w:rsidR="009E7793">
          <w:rPr>
            <w:noProof/>
            <w:webHidden/>
          </w:rPr>
          <w:instrText xml:space="preserve"> PAGEREF _Toc287342459 \h </w:instrText>
        </w:r>
        <w:r w:rsidR="00951EB5">
          <w:rPr>
            <w:noProof/>
            <w:webHidden/>
          </w:rPr>
        </w:r>
        <w:r w:rsidR="00951EB5">
          <w:rPr>
            <w:noProof/>
            <w:webHidden/>
          </w:rPr>
          <w:fldChar w:fldCharType="separate"/>
        </w:r>
        <w:r w:rsidR="00544739">
          <w:rPr>
            <w:noProof/>
            <w:webHidden/>
          </w:rPr>
          <w:t>20</w:t>
        </w:r>
        <w:r w:rsidR="00951EB5">
          <w:rPr>
            <w:noProof/>
            <w:webHidden/>
          </w:rPr>
          <w:fldChar w:fldCharType="end"/>
        </w:r>
      </w:hyperlink>
    </w:p>
    <w:p w:rsidR="009E7793" w:rsidRDefault="00E319FD">
      <w:pPr>
        <w:pStyle w:val="TableofFigures"/>
        <w:tabs>
          <w:tab w:val="right" w:leader="dot" w:pos="9350"/>
        </w:tabs>
        <w:rPr>
          <w:noProof/>
        </w:rPr>
      </w:pPr>
      <w:hyperlink w:anchor="_Toc287342460" w:history="1">
        <w:r w:rsidR="009E7793" w:rsidRPr="000A4B2F">
          <w:rPr>
            <w:rStyle w:val="Hyperlink"/>
            <w:noProof/>
          </w:rPr>
          <w:t>Table 19  MBRR Table A3 - Budgeted Financial Performance (revenue and expenditure by municipal vote)</w:t>
        </w:r>
        <w:r w:rsidR="009E7793">
          <w:rPr>
            <w:noProof/>
            <w:webHidden/>
          </w:rPr>
          <w:tab/>
        </w:r>
        <w:r w:rsidR="00951EB5">
          <w:rPr>
            <w:noProof/>
            <w:webHidden/>
          </w:rPr>
          <w:fldChar w:fldCharType="begin"/>
        </w:r>
        <w:r w:rsidR="009E7793">
          <w:rPr>
            <w:noProof/>
            <w:webHidden/>
          </w:rPr>
          <w:instrText xml:space="preserve"> PAGEREF _Toc287342460 \h </w:instrText>
        </w:r>
        <w:r w:rsidR="00951EB5">
          <w:rPr>
            <w:noProof/>
            <w:webHidden/>
          </w:rPr>
        </w:r>
        <w:r w:rsidR="00951EB5">
          <w:rPr>
            <w:noProof/>
            <w:webHidden/>
          </w:rPr>
          <w:fldChar w:fldCharType="separate"/>
        </w:r>
        <w:r w:rsidR="00544739">
          <w:rPr>
            <w:noProof/>
            <w:webHidden/>
          </w:rPr>
          <w:t>22</w:t>
        </w:r>
        <w:r w:rsidR="00951EB5">
          <w:rPr>
            <w:noProof/>
            <w:webHidden/>
          </w:rPr>
          <w:fldChar w:fldCharType="end"/>
        </w:r>
      </w:hyperlink>
    </w:p>
    <w:p w:rsidR="009E7793" w:rsidRDefault="00E319FD">
      <w:pPr>
        <w:pStyle w:val="TableofFigures"/>
        <w:tabs>
          <w:tab w:val="right" w:leader="dot" w:pos="9350"/>
        </w:tabs>
        <w:rPr>
          <w:noProof/>
        </w:rPr>
      </w:pPr>
      <w:hyperlink w:anchor="_Toc287342461" w:history="1">
        <w:r w:rsidR="009E7793" w:rsidRPr="000A4B2F">
          <w:rPr>
            <w:rStyle w:val="Hyperlink"/>
            <w:noProof/>
          </w:rPr>
          <w:t>Table 20  Surplus/(Deficit) calculations for the trading services</w:t>
        </w:r>
        <w:r w:rsidR="009E7793">
          <w:rPr>
            <w:noProof/>
            <w:webHidden/>
          </w:rPr>
          <w:tab/>
        </w:r>
        <w:r w:rsidR="00951EB5">
          <w:rPr>
            <w:noProof/>
            <w:webHidden/>
          </w:rPr>
          <w:fldChar w:fldCharType="begin"/>
        </w:r>
        <w:r w:rsidR="009E7793">
          <w:rPr>
            <w:noProof/>
            <w:webHidden/>
          </w:rPr>
          <w:instrText xml:space="preserve"> PAGEREF _Toc287342461 \h </w:instrText>
        </w:r>
        <w:r w:rsidR="00951EB5">
          <w:rPr>
            <w:noProof/>
            <w:webHidden/>
          </w:rPr>
        </w:r>
        <w:r w:rsidR="00951EB5">
          <w:rPr>
            <w:noProof/>
            <w:webHidden/>
          </w:rPr>
          <w:fldChar w:fldCharType="separate"/>
        </w:r>
        <w:r w:rsidR="00544739">
          <w:rPr>
            <w:noProof/>
            <w:webHidden/>
          </w:rPr>
          <w:t>22</w:t>
        </w:r>
        <w:r w:rsidR="00951EB5">
          <w:rPr>
            <w:noProof/>
            <w:webHidden/>
          </w:rPr>
          <w:fldChar w:fldCharType="end"/>
        </w:r>
      </w:hyperlink>
    </w:p>
    <w:p w:rsidR="009E7793" w:rsidRDefault="00E319FD">
      <w:pPr>
        <w:pStyle w:val="TableofFigures"/>
        <w:tabs>
          <w:tab w:val="right" w:leader="dot" w:pos="9350"/>
        </w:tabs>
        <w:rPr>
          <w:noProof/>
        </w:rPr>
      </w:pPr>
      <w:hyperlink w:anchor="_Toc287342462" w:history="1">
        <w:r w:rsidR="009E7793" w:rsidRPr="000A4B2F">
          <w:rPr>
            <w:rStyle w:val="Hyperlink"/>
            <w:noProof/>
          </w:rPr>
          <w:t>Table 21  MBRR Table A4 - Budgeted Financial Performance (revenue and expenditure)</w:t>
        </w:r>
        <w:r w:rsidR="009E7793">
          <w:rPr>
            <w:noProof/>
            <w:webHidden/>
          </w:rPr>
          <w:tab/>
        </w:r>
        <w:r w:rsidR="00951EB5">
          <w:rPr>
            <w:noProof/>
            <w:webHidden/>
          </w:rPr>
          <w:fldChar w:fldCharType="begin"/>
        </w:r>
        <w:r w:rsidR="009E7793">
          <w:rPr>
            <w:noProof/>
            <w:webHidden/>
          </w:rPr>
          <w:instrText xml:space="preserve"> PAGEREF _Toc287342462 \h </w:instrText>
        </w:r>
        <w:r w:rsidR="00951EB5">
          <w:rPr>
            <w:noProof/>
            <w:webHidden/>
          </w:rPr>
        </w:r>
        <w:r w:rsidR="00951EB5">
          <w:rPr>
            <w:noProof/>
            <w:webHidden/>
          </w:rPr>
          <w:fldChar w:fldCharType="separate"/>
        </w:r>
        <w:r w:rsidR="00544739">
          <w:rPr>
            <w:noProof/>
            <w:webHidden/>
          </w:rPr>
          <w:t>24</w:t>
        </w:r>
        <w:r w:rsidR="00951EB5">
          <w:rPr>
            <w:noProof/>
            <w:webHidden/>
          </w:rPr>
          <w:fldChar w:fldCharType="end"/>
        </w:r>
      </w:hyperlink>
    </w:p>
    <w:p w:rsidR="009E7793" w:rsidRDefault="00E319FD">
      <w:pPr>
        <w:pStyle w:val="TableofFigures"/>
        <w:tabs>
          <w:tab w:val="right" w:leader="dot" w:pos="9350"/>
        </w:tabs>
        <w:rPr>
          <w:noProof/>
        </w:rPr>
      </w:pPr>
      <w:hyperlink w:anchor="_Toc287342463" w:history="1">
        <w:r w:rsidR="009E7793" w:rsidRPr="000A4B2F">
          <w:rPr>
            <w:rStyle w:val="Hyperlink"/>
            <w:noProof/>
          </w:rPr>
          <w:t>Table 22  MBRR Table A5 - Budgeted Capital Expenditure by vote, standard classification and funding source</w:t>
        </w:r>
        <w:r w:rsidR="009E7793">
          <w:rPr>
            <w:noProof/>
            <w:webHidden/>
          </w:rPr>
          <w:tab/>
        </w:r>
        <w:r w:rsidR="00951EB5">
          <w:rPr>
            <w:noProof/>
            <w:webHidden/>
          </w:rPr>
          <w:fldChar w:fldCharType="begin"/>
        </w:r>
        <w:r w:rsidR="009E7793">
          <w:rPr>
            <w:noProof/>
            <w:webHidden/>
          </w:rPr>
          <w:instrText xml:space="preserve"> PAGEREF _Toc287342463 \h </w:instrText>
        </w:r>
        <w:r w:rsidR="00951EB5">
          <w:rPr>
            <w:noProof/>
            <w:webHidden/>
          </w:rPr>
        </w:r>
        <w:r w:rsidR="00951EB5">
          <w:rPr>
            <w:noProof/>
            <w:webHidden/>
          </w:rPr>
          <w:fldChar w:fldCharType="separate"/>
        </w:r>
        <w:r w:rsidR="00544739">
          <w:rPr>
            <w:noProof/>
            <w:webHidden/>
          </w:rPr>
          <w:t>27</w:t>
        </w:r>
        <w:r w:rsidR="00951EB5">
          <w:rPr>
            <w:noProof/>
            <w:webHidden/>
          </w:rPr>
          <w:fldChar w:fldCharType="end"/>
        </w:r>
      </w:hyperlink>
    </w:p>
    <w:p w:rsidR="009E7793" w:rsidRDefault="00E319FD">
      <w:pPr>
        <w:pStyle w:val="TableofFigures"/>
        <w:tabs>
          <w:tab w:val="right" w:leader="dot" w:pos="9350"/>
        </w:tabs>
        <w:rPr>
          <w:noProof/>
        </w:rPr>
      </w:pPr>
      <w:hyperlink w:anchor="_Toc287342464" w:history="1">
        <w:r w:rsidR="009E7793" w:rsidRPr="000A4B2F">
          <w:rPr>
            <w:rStyle w:val="Hyperlink"/>
            <w:noProof/>
          </w:rPr>
          <w:t>Table 23  MBRR Table A6 - Budgeted Financial Position</w:t>
        </w:r>
        <w:r w:rsidR="009E7793">
          <w:rPr>
            <w:noProof/>
            <w:webHidden/>
          </w:rPr>
          <w:tab/>
        </w:r>
        <w:r w:rsidR="00951EB5">
          <w:rPr>
            <w:noProof/>
            <w:webHidden/>
          </w:rPr>
          <w:fldChar w:fldCharType="begin"/>
        </w:r>
        <w:r w:rsidR="009E7793">
          <w:rPr>
            <w:noProof/>
            <w:webHidden/>
          </w:rPr>
          <w:instrText xml:space="preserve"> PAGEREF _Toc287342464 \h </w:instrText>
        </w:r>
        <w:r w:rsidR="00951EB5">
          <w:rPr>
            <w:noProof/>
            <w:webHidden/>
          </w:rPr>
        </w:r>
        <w:r w:rsidR="00951EB5">
          <w:rPr>
            <w:noProof/>
            <w:webHidden/>
          </w:rPr>
          <w:fldChar w:fldCharType="separate"/>
        </w:r>
        <w:r w:rsidR="00544739">
          <w:rPr>
            <w:noProof/>
            <w:webHidden/>
          </w:rPr>
          <w:t>29</w:t>
        </w:r>
        <w:r w:rsidR="00951EB5">
          <w:rPr>
            <w:noProof/>
            <w:webHidden/>
          </w:rPr>
          <w:fldChar w:fldCharType="end"/>
        </w:r>
      </w:hyperlink>
    </w:p>
    <w:p w:rsidR="009E7793" w:rsidRDefault="00E319FD">
      <w:pPr>
        <w:pStyle w:val="TableofFigures"/>
        <w:tabs>
          <w:tab w:val="right" w:leader="dot" w:pos="9350"/>
        </w:tabs>
        <w:rPr>
          <w:noProof/>
        </w:rPr>
      </w:pPr>
      <w:hyperlink w:anchor="_Toc287342465" w:history="1">
        <w:r w:rsidR="009E7793" w:rsidRPr="000A4B2F">
          <w:rPr>
            <w:rStyle w:val="Hyperlink"/>
            <w:noProof/>
          </w:rPr>
          <w:t>Table 24  MBRR Table A7 - Budgeted Cash Flow Statement</w:t>
        </w:r>
        <w:r w:rsidR="009E7793">
          <w:rPr>
            <w:noProof/>
            <w:webHidden/>
          </w:rPr>
          <w:tab/>
        </w:r>
        <w:r w:rsidR="00951EB5">
          <w:rPr>
            <w:noProof/>
            <w:webHidden/>
          </w:rPr>
          <w:fldChar w:fldCharType="begin"/>
        </w:r>
        <w:r w:rsidR="009E7793">
          <w:rPr>
            <w:noProof/>
            <w:webHidden/>
          </w:rPr>
          <w:instrText xml:space="preserve"> PAGEREF _Toc287342465 \h </w:instrText>
        </w:r>
        <w:r w:rsidR="00951EB5">
          <w:rPr>
            <w:noProof/>
            <w:webHidden/>
          </w:rPr>
        </w:r>
        <w:r w:rsidR="00951EB5">
          <w:rPr>
            <w:noProof/>
            <w:webHidden/>
          </w:rPr>
          <w:fldChar w:fldCharType="separate"/>
        </w:r>
        <w:r w:rsidR="00544739">
          <w:rPr>
            <w:noProof/>
            <w:webHidden/>
          </w:rPr>
          <w:t>31</w:t>
        </w:r>
        <w:r w:rsidR="00951EB5">
          <w:rPr>
            <w:noProof/>
            <w:webHidden/>
          </w:rPr>
          <w:fldChar w:fldCharType="end"/>
        </w:r>
      </w:hyperlink>
    </w:p>
    <w:p w:rsidR="009E7793" w:rsidRDefault="00E319FD">
      <w:pPr>
        <w:pStyle w:val="TableofFigures"/>
        <w:tabs>
          <w:tab w:val="right" w:leader="dot" w:pos="9350"/>
        </w:tabs>
        <w:rPr>
          <w:noProof/>
        </w:rPr>
      </w:pPr>
      <w:hyperlink w:anchor="_Toc287342466" w:history="1">
        <w:r w:rsidR="009E7793" w:rsidRPr="000A4B2F">
          <w:rPr>
            <w:rStyle w:val="Hyperlink"/>
            <w:noProof/>
          </w:rPr>
          <w:t>Table 25  MBRR Table A8 - Cash Backed Reserves/Accumulated Surplus Reconciliation</w:t>
        </w:r>
        <w:r w:rsidR="009E7793">
          <w:rPr>
            <w:noProof/>
            <w:webHidden/>
          </w:rPr>
          <w:tab/>
        </w:r>
        <w:r w:rsidR="00951EB5">
          <w:rPr>
            <w:noProof/>
            <w:webHidden/>
          </w:rPr>
          <w:fldChar w:fldCharType="begin"/>
        </w:r>
        <w:r w:rsidR="009E7793">
          <w:rPr>
            <w:noProof/>
            <w:webHidden/>
          </w:rPr>
          <w:instrText xml:space="preserve"> PAGEREF _Toc287342466 \h </w:instrText>
        </w:r>
        <w:r w:rsidR="00951EB5">
          <w:rPr>
            <w:noProof/>
            <w:webHidden/>
          </w:rPr>
        </w:r>
        <w:r w:rsidR="00951EB5">
          <w:rPr>
            <w:noProof/>
            <w:webHidden/>
          </w:rPr>
          <w:fldChar w:fldCharType="separate"/>
        </w:r>
        <w:r w:rsidR="00544739">
          <w:rPr>
            <w:noProof/>
            <w:webHidden/>
          </w:rPr>
          <w:t>32</w:t>
        </w:r>
        <w:r w:rsidR="00951EB5">
          <w:rPr>
            <w:noProof/>
            <w:webHidden/>
          </w:rPr>
          <w:fldChar w:fldCharType="end"/>
        </w:r>
      </w:hyperlink>
    </w:p>
    <w:p w:rsidR="009E7793" w:rsidRDefault="00E319FD">
      <w:pPr>
        <w:pStyle w:val="TableofFigures"/>
        <w:tabs>
          <w:tab w:val="right" w:leader="dot" w:pos="9350"/>
        </w:tabs>
        <w:rPr>
          <w:noProof/>
        </w:rPr>
      </w:pPr>
      <w:hyperlink w:anchor="_Toc287342467" w:history="1">
        <w:r w:rsidR="009E7793" w:rsidRPr="000A4B2F">
          <w:rPr>
            <w:rStyle w:val="Hyperlink"/>
            <w:noProof/>
          </w:rPr>
          <w:t>Table 26  MBRR Table A9 - Asset Management</w:t>
        </w:r>
        <w:r w:rsidR="009E7793">
          <w:rPr>
            <w:noProof/>
            <w:webHidden/>
          </w:rPr>
          <w:tab/>
        </w:r>
        <w:r w:rsidR="00951EB5">
          <w:rPr>
            <w:noProof/>
            <w:webHidden/>
          </w:rPr>
          <w:fldChar w:fldCharType="begin"/>
        </w:r>
        <w:r w:rsidR="009E7793">
          <w:rPr>
            <w:noProof/>
            <w:webHidden/>
          </w:rPr>
          <w:instrText xml:space="preserve"> PAGEREF _Toc287342467 \h </w:instrText>
        </w:r>
        <w:r w:rsidR="00951EB5">
          <w:rPr>
            <w:noProof/>
            <w:webHidden/>
          </w:rPr>
        </w:r>
        <w:r w:rsidR="00951EB5">
          <w:rPr>
            <w:noProof/>
            <w:webHidden/>
          </w:rPr>
          <w:fldChar w:fldCharType="separate"/>
        </w:r>
        <w:r w:rsidR="00544739">
          <w:rPr>
            <w:noProof/>
            <w:webHidden/>
          </w:rPr>
          <w:t>34</w:t>
        </w:r>
        <w:r w:rsidR="00951EB5">
          <w:rPr>
            <w:noProof/>
            <w:webHidden/>
          </w:rPr>
          <w:fldChar w:fldCharType="end"/>
        </w:r>
      </w:hyperlink>
    </w:p>
    <w:p w:rsidR="009E7793" w:rsidRDefault="00E319FD">
      <w:pPr>
        <w:pStyle w:val="TableofFigures"/>
        <w:tabs>
          <w:tab w:val="right" w:leader="dot" w:pos="9350"/>
        </w:tabs>
        <w:rPr>
          <w:noProof/>
        </w:rPr>
      </w:pPr>
      <w:hyperlink w:anchor="_Toc287342468" w:history="1">
        <w:r w:rsidR="009E7793" w:rsidRPr="000A4B2F">
          <w:rPr>
            <w:rStyle w:val="Hyperlink"/>
            <w:noProof/>
          </w:rPr>
          <w:t>Table 27  MBRR Table A10 - Basic Service Delivery Measurement</w:t>
        </w:r>
        <w:r w:rsidR="009E7793">
          <w:rPr>
            <w:noProof/>
            <w:webHidden/>
          </w:rPr>
          <w:tab/>
        </w:r>
        <w:r w:rsidR="00951EB5">
          <w:rPr>
            <w:noProof/>
            <w:webHidden/>
          </w:rPr>
          <w:fldChar w:fldCharType="begin"/>
        </w:r>
        <w:r w:rsidR="009E7793">
          <w:rPr>
            <w:noProof/>
            <w:webHidden/>
          </w:rPr>
          <w:instrText xml:space="preserve"> PAGEREF _Toc287342468 \h </w:instrText>
        </w:r>
        <w:r w:rsidR="00951EB5">
          <w:rPr>
            <w:noProof/>
            <w:webHidden/>
          </w:rPr>
        </w:r>
        <w:r w:rsidR="00951EB5">
          <w:rPr>
            <w:noProof/>
            <w:webHidden/>
          </w:rPr>
          <w:fldChar w:fldCharType="separate"/>
        </w:r>
        <w:r w:rsidR="00544739">
          <w:rPr>
            <w:noProof/>
            <w:webHidden/>
          </w:rPr>
          <w:t>36</w:t>
        </w:r>
        <w:r w:rsidR="00951EB5">
          <w:rPr>
            <w:noProof/>
            <w:webHidden/>
          </w:rPr>
          <w:fldChar w:fldCharType="end"/>
        </w:r>
      </w:hyperlink>
    </w:p>
    <w:p w:rsidR="009E7793" w:rsidRDefault="00E319FD">
      <w:pPr>
        <w:pStyle w:val="TableofFigures"/>
        <w:tabs>
          <w:tab w:val="right" w:leader="dot" w:pos="9350"/>
        </w:tabs>
        <w:rPr>
          <w:noProof/>
        </w:rPr>
      </w:pPr>
      <w:hyperlink w:anchor="_Toc287342469" w:history="1">
        <w:r w:rsidR="009E7793" w:rsidRPr="000A4B2F">
          <w:rPr>
            <w:rStyle w:val="Hyperlink"/>
            <w:noProof/>
          </w:rPr>
          <w:t>Table 28  IDP Strategic Objectives</w:t>
        </w:r>
        <w:r w:rsidR="009E7793">
          <w:rPr>
            <w:noProof/>
            <w:webHidden/>
          </w:rPr>
          <w:tab/>
        </w:r>
        <w:r w:rsidR="00951EB5">
          <w:rPr>
            <w:noProof/>
            <w:webHidden/>
          </w:rPr>
          <w:fldChar w:fldCharType="begin"/>
        </w:r>
        <w:r w:rsidR="009E7793">
          <w:rPr>
            <w:noProof/>
            <w:webHidden/>
          </w:rPr>
          <w:instrText xml:space="preserve"> PAGEREF _Toc287342469 \h </w:instrText>
        </w:r>
        <w:r w:rsidR="00951EB5">
          <w:rPr>
            <w:noProof/>
            <w:webHidden/>
          </w:rPr>
        </w:r>
        <w:r w:rsidR="00951EB5">
          <w:rPr>
            <w:noProof/>
            <w:webHidden/>
          </w:rPr>
          <w:fldChar w:fldCharType="separate"/>
        </w:r>
        <w:r w:rsidR="00544739">
          <w:rPr>
            <w:noProof/>
            <w:webHidden/>
          </w:rPr>
          <w:t>42</w:t>
        </w:r>
        <w:r w:rsidR="00951EB5">
          <w:rPr>
            <w:noProof/>
            <w:webHidden/>
          </w:rPr>
          <w:fldChar w:fldCharType="end"/>
        </w:r>
      </w:hyperlink>
    </w:p>
    <w:p w:rsidR="009E7793" w:rsidRDefault="00E319FD">
      <w:pPr>
        <w:pStyle w:val="TableofFigures"/>
        <w:tabs>
          <w:tab w:val="right" w:leader="dot" w:pos="9350"/>
        </w:tabs>
        <w:rPr>
          <w:noProof/>
        </w:rPr>
      </w:pPr>
      <w:hyperlink w:anchor="_Toc287342470" w:history="1">
        <w:r w:rsidR="009E7793" w:rsidRPr="000A4B2F">
          <w:rPr>
            <w:rStyle w:val="Hyperlink"/>
            <w:noProof/>
          </w:rPr>
          <w:t>Table 29  MBRR Table SA4 - Reconciliation between the IDP strategic objectives and budgeted revenue</w:t>
        </w:r>
        <w:r w:rsidR="009E7793">
          <w:rPr>
            <w:noProof/>
            <w:webHidden/>
          </w:rPr>
          <w:tab/>
        </w:r>
        <w:r w:rsidR="00951EB5">
          <w:rPr>
            <w:noProof/>
            <w:webHidden/>
          </w:rPr>
          <w:fldChar w:fldCharType="begin"/>
        </w:r>
        <w:r w:rsidR="009E7793">
          <w:rPr>
            <w:noProof/>
            <w:webHidden/>
          </w:rPr>
          <w:instrText xml:space="preserve"> PAGEREF _Toc287342470 \h </w:instrText>
        </w:r>
        <w:r w:rsidR="00951EB5">
          <w:rPr>
            <w:noProof/>
            <w:webHidden/>
          </w:rPr>
        </w:r>
        <w:r w:rsidR="00951EB5">
          <w:rPr>
            <w:noProof/>
            <w:webHidden/>
          </w:rPr>
          <w:fldChar w:fldCharType="separate"/>
        </w:r>
        <w:r w:rsidR="00544739">
          <w:rPr>
            <w:noProof/>
            <w:webHidden/>
          </w:rPr>
          <w:t>44</w:t>
        </w:r>
        <w:r w:rsidR="00951EB5">
          <w:rPr>
            <w:noProof/>
            <w:webHidden/>
          </w:rPr>
          <w:fldChar w:fldCharType="end"/>
        </w:r>
      </w:hyperlink>
    </w:p>
    <w:p w:rsidR="009E7793" w:rsidRDefault="00E319FD">
      <w:pPr>
        <w:pStyle w:val="TableofFigures"/>
        <w:tabs>
          <w:tab w:val="right" w:leader="dot" w:pos="9350"/>
        </w:tabs>
        <w:rPr>
          <w:noProof/>
        </w:rPr>
      </w:pPr>
      <w:hyperlink w:anchor="_Toc287342471" w:history="1">
        <w:r w:rsidR="009E7793" w:rsidRPr="000A4B2F">
          <w:rPr>
            <w:rStyle w:val="Hyperlink"/>
            <w:noProof/>
          </w:rPr>
          <w:t>Table 30  MBRR Table SA5 - Reconciliation between the IDP strategic objectives and budgeted operating expenditure</w:t>
        </w:r>
        <w:r w:rsidR="009E7793">
          <w:rPr>
            <w:noProof/>
            <w:webHidden/>
          </w:rPr>
          <w:tab/>
        </w:r>
        <w:r w:rsidR="00951EB5">
          <w:rPr>
            <w:noProof/>
            <w:webHidden/>
          </w:rPr>
          <w:fldChar w:fldCharType="begin"/>
        </w:r>
        <w:r w:rsidR="009E7793">
          <w:rPr>
            <w:noProof/>
            <w:webHidden/>
          </w:rPr>
          <w:instrText xml:space="preserve"> PAGEREF _Toc287342471 \h </w:instrText>
        </w:r>
        <w:r w:rsidR="00951EB5">
          <w:rPr>
            <w:noProof/>
            <w:webHidden/>
          </w:rPr>
        </w:r>
        <w:r w:rsidR="00951EB5">
          <w:rPr>
            <w:noProof/>
            <w:webHidden/>
          </w:rPr>
          <w:fldChar w:fldCharType="separate"/>
        </w:r>
        <w:r w:rsidR="00544739">
          <w:rPr>
            <w:noProof/>
            <w:webHidden/>
          </w:rPr>
          <w:t>45</w:t>
        </w:r>
        <w:r w:rsidR="00951EB5">
          <w:rPr>
            <w:noProof/>
            <w:webHidden/>
          </w:rPr>
          <w:fldChar w:fldCharType="end"/>
        </w:r>
      </w:hyperlink>
    </w:p>
    <w:p w:rsidR="009E7793" w:rsidRDefault="00E319FD">
      <w:pPr>
        <w:pStyle w:val="TableofFigures"/>
        <w:tabs>
          <w:tab w:val="right" w:leader="dot" w:pos="9350"/>
        </w:tabs>
        <w:rPr>
          <w:noProof/>
        </w:rPr>
      </w:pPr>
      <w:hyperlink w:anchor="_Toc287342472" w:history="1">
        <w:r w:rsidR="009E7793" w:rsidRPr="000A4B2F">
          <w:rPr>
            <w:rStyle w:val="Hyperlink"/>
            <w:noProof/>
          </w:rPr>
          <w:t>Table 31  MBRR Table SA7 - Reconciliation between the IDP strategic objectives and budgeted capital expenditure</w:t>
        </w:r>
        <w:r w:rsidR="009E7793">
          <w:rPr>
            <w:noProof/>
            <w:webHidden/>
          </w:rPr>
          <w:tab/>
        </w:r>
        <w:r w:rsidR="00951EB5">
          <w:rPr>
            <w:noProof/>
            <w:webHidden/>
          </w:rPr>
          <w:fldChar w:fldCharType="begin"/>
        </w:r>
        <w:r w:rsidR="009E7793">
          <w:rPr>
            <w:noProof/>
            <w:webHidden/>
          </w:rPr>
          <w:instrText xml:space="preserve"> PAGEREF _Toc287342472 \h </w:instrText>
        </w:r>
        <w:r w:rsidR="00951EB5">
          <w:rPr>
            <w:noProof/>
            <w:webHidden/>
          </w:rPr>
        </w:r>
        <w:r w:rsidR="00951EB5">
          <w:rPr>
            <w:noProof/>
            <w:webHidden/>
          </w:rPr>
          <w:fldChar w:fldCharType="separate"/>
        </w:r>
        <w:r w:rsidR="00544739">
          <w:rPr>
            <w:noProof/>
            <w:webHidden/>
          </w:rPr>
          <w:t>45</w:t>
        </w:r>
        <w:r w:rsidR="00951EB5">
          <w:rPr>
            <w:noProof/>
            <w:webHidden/>
          </w:rPr>
          <w:fldChar w:fldCharType="end"/>
        </w:r>
      </w:hyperlink>
    </w:p>
    <w:p w:rsidR="009E7793" w:rsidRDefault="00E319FD">
      <w:pPr>
        <w:pStyle w:val="TableofFigures"/>
        <w:tabs>
          <w:tab w:val="right" w:leader="dot" w:pos="9350"/>
        </w:tabs>
        <w:rPr>
          <w:noProof/>
        </w:rPr>
      </w:pPr>
      <w:hyperlink w:anchor="_Toc287342473" w:history="1">
        <w:r w:rsidR="009E7793" w:rsidRPr="000A4B2F">
          <w:rPr>
            <w:rStyle w:val="Hyperlink"/>
            <w:noProof/>
          </w:rPr>
          <w:t>Table 32  MBRR Table SA7 - Measurable performance objectives</w:t>
        </w:r>
        <w:r w:rsidR="009E7793">
          <w:rPr>
            <w:noProof/>
            <w:webHidden/>
          </w:rPr>
          <w:tab/>
        </w:r>
        <w:r w:rsidR="00951EB5">
          <w:rPr>
            <w:noProof/>
            <w:webHidden/>
          </w:rPr>
          <w:fldChar w:fldCharType="begin"/>
        </w:r>
        <w:r w:rsidR="009E7793">
          <w:rPr>
            <w:noProof/>
            <w:webHidden/>
          </w:rPr>
          <w:instrText xml:space="preserve"> PAGEREF _Toc287342473 \h </w:instrText>
        </w:r>
        <w:r w:rsidR="00951EB5">
          <w:rPr>
            <w:noProof/>
            <w:webHidden/>
          </w:rPr>
        </w:r>
        <w:r w:rsidR="00951EB5">
          <w:rPr>
            <w:noProof/>
            <w:webHidden/>
          </w:rPr>
          <w:fldChar w:fldCharType="separate"/>
        </w:r>
        <w:r w:rsidR="00544739">
          <w:rPr>
            <w:noProof/>
            <w:webHidden/>
          </w:rPr>
          <w:t>48</w:t>
        </w:r>
        <w:r w:rsidR="00951EB5">
          <w:rPr>
            <w:noProof/>
            <w:webHidden/>
          </w:rPr>
          <w:fldChar w:fldCharType="end"/>
        </w:r>
      </w:hyperlink>
    </w:p>
    <w:p w:rsidR="009E7793" w:rsidRDefault="00E319FD">
      <w:pPr>
        <w:pStyle w:val="TableofFigures"/>
        <w:tabs>
          <w:tab w:val="right" w:leader="dot" w:pos="9350"/>
        </w:tabs>
        <w:rPr>
          <w:noProof/>
        </w:rPr>
      </w:pPr>
      <w:hyperlink w:anchor="_Toc287342474" w:history="1">
        <w:r w:rsidR="009E7793" w:rsidRPr="000A4B2F">
          <w:rPr>
            <w:rStyle w:val="Hyperlink"/>
            <w:noProof/>
          </w:rPr>
          <w:t>Table 33  MBRR Table SA8 - Performance indicators and benchmarks</w:t>
        </w:r>
        <w:r w:rsidR="009E7793">
          <w:rPr>
            <w:noProof/>
            <w:webHidden/>
          </w:rPr>
          <w:tab/>
        </w:r>
        <w:r w:rsidR="00951EB5">
          <w:rPr>
            <w:noProof/>
            <w:webHidden/>
          </w:rPr>
          <w:fldChar w:fldCharType="begin"/>
        </w:r>
        <w:r w:rsidR="009E7793">
          <w:rPr>
            <w:noProof/>
            <w:webHidden/>
          </w:rPr>
          <w:instrText xml:space="preserve"> PAGEREF _Toc287342474 \h </w:instrText>
        </w:r>
        <w:r w:rsidR="00951EB5">
          <w:rPr>
            <w:noProof/>
            <w:webHidden/>
          </w:rPr>
        </w:r>
        <w:r w:rsidR="00951EB5">
          <w:rPr>
            <w:noProof/>
            <w:webHidden/>
          </w:rPr>
          <w:fldChar w:fldCharType="separate"/>
        </w:r>
        <w:r w:rsidR="00544739">
          <w:rPr>
            <w:noProof/>
            <w:webHidden/>
          </w:rPr>
          <w:t>49</w:t>
        </w:r>
        <w:r w:rsidR="00951EB5">
          <w:rPr>
            <w:noProof/>
            <w:webHidden/>
          </w:rPr>
          <w:fldChar w:fldCharType="end"/>
        </w:r>
      </w:hyperlink>
    </w:p>
    <w:p w:rsidR="009E7793" w:rsidRDefault="00E319FD">
      <w:pPr>
        <w:pStyle w:val="TableofFigures"/>
        <w:tabs>
          <w:tab w:val="right" w:leader="dot" w:pos="9350"/>
        </w:tabs>
        <w:rPr>
          <w:noProof/>
        </w:rPr>
      </w:pPr>
      <w:hyperlink w:anchor="_Toc287342476" w:history="1">
        <w:r w:rsidR="009E7793" w:rsidRPr="000A4B2F">
          <w:rPr>
            <w:rStyle w:val="Hyperlink"/>
            <w:noProof/>
          </w:rPr>
          <w:t>Table 35  Breakdown of the operating revenue over the medium-term</w:t>
        </w:r>
        <w:r w:rsidR="009E7793">
          <w:rPr>
            <w:noProof/>
            <w:webHidden/>
          </w:rPr>
          <w:tab/>
        </w:r>
        <w:r w:rsidR="00951EB5">
          <w:rPr>
            <w:noProof/>
            <w:webHidden/>
          </w:rPr>
          <w:fldChar w:fldCharType="begin"/>
        </w:r>
        <w:r w:rsidR="009E7793">
          <w:rPr>
            <w:noProof/>
            <w:webHidden/>
          </w:rPr>
          <w:instrText xml:space="preserve"> PAGEREF _Toc287342476 \h </w:instrText>
        </w:r>
        <w:r w:rsidR="00951EB5">
          <w:rPr>
            <w:noProof/>
            <w:webHidden/>
          </w:rPr>
        </w:r>
        <w:r w:rsidR="00951EB5">
          <w:rPr>
            <w:noProof/>
            <w:webHidden/>
          </w:rPr>
          <w:fldChar w:fldCharType="separate"/>
        </w:r>
        <w:r w:rsidR="00544739">
          <w:rPr>
            <w:noProof/>
            <w:webHidden/>
          </w:rPr>
          <w:t>55</w:t>
        </w:r>
        <w:r w:rsidR="00951EB5">
          <w:rPr>
            <w:noProof/>
            <w:webHidden/>
          </w:rPr>
          <w:fldChar w:fldCharType="end"/>
        </w:r>
      </w:hyperlink>
    </w:p>
    <w:p w:rsidR="009E7793" w:rsidRDefault="00E319FD">
      <w:pPr>
        <w:pStyle w:val="TableofFigures"/>
        <w:tabs>
          <w:tab w:val="right" w:leader="dot" w:pos="9350"/>
        </w:tabs>
        <w:rPr>
          <w:noProof/>
        </w:rPr>
      </w:pPr>
      <w:hyperlink w:anchor="_Toc287342478" w:history="1">
        <w:r w:rsidR="009E7793" w:rsidRPr="000A4B2F">
          <w:rPr>
            <w:rStyle w:val="Hyperlink"/>
            <w:noProof/>
          </w:rPr>
          <w:t>Table 37  MBRR SA15 – Detail Investment Information</w:t>
        </w:r>
        <w:r w:rsidR="009E7793">
          <w:rPr>
            <w:noProof/>
            <w:webHidden/>
          </w:rPr>
          <w:tab/>
        </w:r>
        <w:r w:rsidR="00951EB5">
          <w:rPr>
            <w:noProof/>
            <w:webHidden/>
          </w:rPr>
          <w:fldChar w:fldCharType="begin"/>
        </w:r>
        <w:r w:rsidR="009E7793">
          <w:rPr>
            <w:noProof/>
            <w:webHidden/>
          </w:rPr>
          <w:instrText xml:space="preserve"> PAGEREF _Toc287342478 \h </w:instrText>
        </w:r>
        <w:r w:rsidR="00951EB5">
          <w:rPr>
            <w:noProof/>
            <w:webHidden/>
          </w:rPr>
        </w:r>
        <w:r w:rsidR="00951EB5">
          <w:rPr>
            <w:noProof/>
            <w:webHidden/>
          </w:rPr>
          <w:fldChar w:fldCharType="separate"/>
        </w:r>
        <w:r w:rsidR="00544739">
          <w:rPr>
            <w:noProof/>
            <w:webHidden/>
          </w:rPr>
          <w:t>57</w:t>
        </w:r>
        <w:r w:rsidR="00951EB5">
          <w:rPr>
            <w:noProof/>
            <w:webHidden/>
          </w:rPr>
          <w:fldChar w:fldCharType="end"/>
        </w:r>
      </w:hyperlink>
    </w:p>
    <w:p w:rsidR="009E7793" w:rsidRDefault="00E319FD">
      <w:pPr>
        <w:pStyle w:val="TableofFigures"/>
        <w:tabs>
          <w:tab w:val="right" w:leader="dot" w:pos="9350"/>
        </w:tabs>
        <w:rPr>
          <w:noProof/>
        </w:rPr>
      </w:pPr>
      <w:hyperlink w:anchor="_Toc287342479" w:history="1">
        <w:r w:rsidR="009E7793" w:rsidRPr="000A4B2F">
          <w:rPr>
            <w:rStyle w:val="Hyperlink"/>
            <w:noProof/>
          </w:rPr>
          <w:t>Table 38  MBRR SA16 – Investment particulars by maturity</w:t>
        </w:r>
        <w:r w:rsidR="009E7793">
          <w:rPr>
            <w:noProof/>
            <w:webHidden/>
          </w:rPr>
          <w:tab/>
        </w:r>
        <w:r w:rsidR="00951EB5">
          <w:rPr>
            <w:noProof/>
            <w:webHidden/>
          </w:rPr>
          <w:fldChar w:fldCharType="begin"/>
        </w:r>
        <w:r w:rsidR="009E7793">
          <w:rPr>
            <w:noProof/>
            <w:webHidden/>
          </w:rPr>
          <w:instrText xml:space="preserve"> PAGEREF _Toc287342479 \h </w:instrText>
        </w:r>
        <w:r w:rsidR="00951EB5">
          <w:rPr>
            <w:noProof/>
            <w:webHidden/>
          </w:rPr>
        </w:r>
        <w:r w:rsidR="00951EB5">
          <w:rPr>
            <w:noProof/>
            <w:webHidden/>
          </w:rPr>
          <w:fldChar w:fldCharType="separate"/>
        </w:r>
        <w:r w:rsidR="00544739">
          <w:rPr>
            <w:noProof/>
            <w:webHidden/>
          </w:rPr>
          <w:t>57</w:t>
        </w:r>
        <w:r w:rsidR="00951EB5">
          <w:rPr>
            <w:noProof/>
            <w:webHidden/>
          </w:rPr>
          <w:fldChar w:fldCharType="end"/>
        </w:r>
      </w:hyperlink>
    </w:p>
    <w:p w:rsidR="009E7793" w:rsidRDefault="00E319FD">
      <w:pPr>
        <w:pStyle w:val="TableofFigures"/>
        <w:tabs>
          <w:tab w:val="right" w:leader="dot" w:pos="9350"/>
        </w:tabs>
        <w:rPr>
          <w:noProof/>
        </w:rPr>
      </w:pPr>
      <w:hyperlink w:anchor="_Toc287342480" w:history="1">
        <w:r w:rsidR="009E7793" w:rsidRPr="000A4B2F">
          <w:rPr>
            <w:rStyle w:val="Hyperlink"/>
            <w:noProof/>
          </w:rPr>
          <w:t>Table 39  Sources of capital revenue over the MTREF</w:t>
        </w:r>
        <w:r w:rsidR="009E7793">
          <w:rPr>
            <w:noProof/>
            <w:webHidden/>
          </w:rPr>
          <w:tab/>
        </w:r>
        <w:r w:rsidR="00951EB5">
          <w:rPr>
            <w:noProof/>
            <w:webHidden/>
          </w:rPr>
          <w:fldChar w:fldCharType="begin"/>
        </w:r>
        <w:r w:rsidR="009E7793">
          <w:rPr>
            <w:noProof/>
            <w:webHidden/>
          </w:rPr>
          <w:instrText xml:space="preserve"> PAGEREF _Toc287342480 \h </w:instrText>
        </w:r>
        <w:r w:rsidR="00951EB5">
          <w:rPr>
            <w:noProof/>
            <w:webHidden/>
          </w:rPr>
        </w:r>
        <w:r w:rsidR="00951EB5">
          <w:rPr>
            <w:noProof/>
            <w:webHidden/>
          </w:rPr>
          <w:fldChar w:fldCharType="separate"/>
        </w:r>
        <w:r w:rsidR="00544739">
          <w:rPr>
            <w:noProof/>
            <w:webHidden/>
          </w:rPr>
          <w:t>57</w:t>
        </w:r>
        <w:r w:rsidR="00951EB5">
          <w:rPr>
            <w:noProof/>
            <w:webHidden/>
          </w:rPr>
          <w:fldChar w:fldCharType="end"/>
        </w:r>
      </w:hyperlink>
    </w:p>
    <w:p w:rsidR="009E7793" w:rsidRDefault="00E319FD">
      <w:pPr>
        <w:pStyle w:val="TableofFigures"/>
        <w:tabs>
          <w:tab w:val="right" w:leader="dot" w:pos="9350"/>
        </w:tabs>
        <w:rPr>
          <w:noProof/>
        </w:rPr>
      </w:pPr>
      <w:hyperlink w:anchor="_Toc287342481" w:history="1">
        <w:r w:rsidR="009E7793" w:rsidRPr="000A4B2F">
          <w:rPr>
            <w:rStyle w:val="Hyperlink"/>
            <w:noProof/>
          </w:rPr>
          <w:t>Table 40  MBRR Table SA 17 - Detail of borrowings</w:t>
        </w:r>
        <w:r w:rsidR="009E7793">
          <w:rPr>
            <w:noProof/>
            <w:webHidden/>
          </w:rPr>
          <w:tab/>
        </w:r>
        <w:r w:rsidR="00951EB5">
          <w:rPr>
            <w:noProof/>
            <w:webHidden/>
          </w:rPr>
          <w:fldChar w:fldCharType="begin"/>
        </w:r>
        <w:r w:rsidR="009E7793">
          <w:rPr>
            <w:noProof/>
            <w:webHidden/>
          </w:rPr>
          <w:instrText xml:space="preserve"> PAGEREF _Toc287342481 \h </w:instrText>
        </w:r>
        <w:r w:rsidR="00951EB5">
          <w:rPr>
            <w:noProof/>
            <w:webHidden/>
          </w:rPr>
        </w:r>
        <w:r w:rsidR="00951EB5">
          <w:rPr>
            <w:noProof/>
            <w:webHidden/>
          </w:rPr>
          <w:fldChar w:fldCharType="separate"/>
        </w:r>
        <w:r w:rsidR="00544739">
          <w:rPr>
            <w:noProof/>
            <w:webHidden/>
          </w:rPr>
          <w:t>58</w:t>
        </w:r>
        <w:r w:rsidR="00951EB5">
          <w:rPr>
            <w:noProof/>
            <w:webHidden/>
          </w:rPr>
          <w:fldChar w:fldCharType="end"/>
        </w:r>
      </w:hyperlink>
    </w:p>
    <w:p w:rsidR="009E7793" w:rsidRDefault="00E319FD">
      <w:pPr>
        <w:pStyle w:val="TableofFigures"/>
        <w:tabs>
          <w:tab w:val="right" w:leader="dot" w:pos="9350"/>
        </w:tabs>
        <w:rPr>
          <w:noProof/>
        </w:rPr>
      </w:pPr>
      <w:hyperlink w:anchor="_Toc287342482" w:history="1">
        <w:r w:rsidR="009E7793" w:rsidRPr="000A4B2F">
          <w:rPr>
            <w:rStyle w:val="Hyperlink"/>
            <w:noProof/>
          </w:rPr>
          <w:t>Table 41  MBRR Table SA 18 - Capital transfers and grant receipts</w:t>
        </w:r>
        <w:r w:rsidR="009E7793">
          <w:rPr>
            <w:noProof/>
            <w:webHidden/>
          </w:rPr>
          <w:tab/>
        </w:r>
        <w:r w:rsidR="00951EB5">
          <w:rPr>
            <w:noProof/>
            <w:webHidden/>
          </w:rPr>
          <w:fldChar w:fldCharType="begin"/>
        </w:r>
        <w:r w:rsidR="009E7793">
          <w:rPr>
            <w:noProof/>
            <w:webHidden/>
          </w:rPr>
          <w:instrText xml:space="preserve"> PAGEREF _Toc287342482 \h </w:instrText>
        </w:r>
        <w:r w:rsidR="00951EB5">
          <w:rPr>
            <w:noProof/>
            <w:webHidden/>
          </w:rPr>
        </w:r>
        <w:r w:rsidR="00951EB5">
          <w:rPr>
            <w:noProof/>
            <w:webHidden/>
          </w:rPr>
          <w:fldChar w:fldCharType="separate"/>
        </w:r>
        <w:r w:rsidR="00544739">
          <w:rPr>
            <w:noProof/>
            <w:webHidden/>
          </w:rPr>
          <w:t>59</w:t>
        </w:r>
        <w:r w:rsidR="00951EB5">
          <w:rPr>
            <w:noProof/>
            <w:webHidden/>
          </w:rPr>
          <w:fldChar w:fldCharType="end"/>
        </w:r>
      </w:hyperlink>
    </w:p>
    <w:p w:rsidR="009E7793" w:rsidRDefault="00E319FD">
      <w:pPr>
        <w:pStyle w:val="TableofFigures"/>
        <w:tabs>
          <w:tab w:val="right" w:leader="dot" w:pos="9350"/>
        </w:tabs>
        <w:rPr>
          <w:noProof/>
        </w:rPr>
      </w:pPr>
      <w:hyperlink w:anchor="_Toc287342483" w:history="1">
        <w:r w:rsidR="009E7793" w:rsidRPr="000A4B2F">
          <w:rPr>
            <w:rStyle w:val="Hyperlink"/>
            <w:noProof/>
          </w:rPr>
          <w:t>Table 42  MBRR Table A7 - Budget cash flow statement</w:t>
        </w:r>
        <w:r w:rsidR="009E7793">
          <w:rPr>
            <w:noProof/>
            <w:webHidden/>
          </w:rPr>
          <w:tab/>
        </w:r>
        <w:r w:rsidR="00951EB5">
          <w:rPr>
            <w:noProof/>
            <w:webHidden/>
          </w:rPr>
          <w:fldChar w:fldCharType="begin"/>
        </w:r>
        <w:r w:rsidR="009E7793">
          <w:rPr>
            <w:noProof/>
            <w:webHidden/>
          </w:rPr>
          <w:instrText xml:space="preserve"> PAGEREF _Toc287342483 \h </w:instrText>
        </w:r>
        <w:r w:rsidR="00951EB5">
          <w:rPr>
            <w:noProof/>
            <w:webHidden/>
          </w:rPr>
        </w:r>
        <w:r w:rsidR="00951EB5">
          <w:rPr>
            <w:noProof/>
            <w:webHidden/>
          </w:rPr>
          <w:fldChar w:fldCharType="separate"/>
        </w:r>
        <w:r w:rsidR="00544739">
          <w:rPr>
            <w:noProof/>
            <w:webHidden/>
          </w:rPr>
          <w:t>60</w:t>
        </w:r>
        <w:r w:rsidR="00951EB5">
          <w:rPr>
            <w:noProof/>
            <w:webHidden/>
          </w:rPr>
          <w:fldChar w:fldCharType="end"/>
        </w:r>
      </w:hyperlink>
    </w:p>
    <w:p w:rsidR="009E7793" w:rsidRDefault="00E319FD">
      <w:pPr>
        <w:pStyle w:val="TableofFigures"/>
        <w:tabs>
          <w:tab w:val="right" w:leader="dot" w:pos="9350"/>
        </w:tabs>
        <w:rPr>
          <w:noProof/>
        </w:rPr>
      </w:pPr>
      <w:hyperlink w:anchor="_Toc287342484" w:history="1">
        <w:r w:rsidR="009E7793" w:rsidRPr="000A4B2F">
          <w:rPr>
            <w:rStyle w:val="Hyperlink"/>
            <w:noProof/>
          </w:rPr>
          <w:t>Table 43  MBRR Table A8 - Cash backed reserves/accumulated surplus reconciliation</w:t>
        </w:r>
        <w:r w:rsidR="009E7793">
          <w:rPr>
            <w:noProof/>
            <w:webHidden/>
          </w:rPr>
          <w:tab/>
        </w:r>
        <w:r w:rsidR="00951EB5">
          <w:rPr>
            <w:noProof/>
            <w:webHidden/>
          </w:rPr>
          <w:fldChar w:fldCharType="begin"/>
        </w:r>
        <w:r w:rsidR="009E7793">
          <w:rPr>
            <w:noProof/>
            <w:webHidden/>
          </w:rPr>
          <w:instrText xml:space="preserve"> PAGEREF _Toc287342484 \h </w:instrText>
        </w:r>
        <w:r w:rsidR="00951EB5">
          <w:rPr>
            <w:noProof/>
            <w:webHidden/>
          </w:rPr>
        </w:r>
        <w:r w:rsidR="00951EB5">
          <w:rPr>
            <w:noProof/>
            <w:webHidden/>
          </w:rPr>
          <w:fldChar w:fldCharType="separate"/>
        </w:r>
        <w:r w:rsidR="00544739">
          <w:rPr>
            <w:noProof/>
            <w:webHidden/>
          </w:rPr>
          <w:t>61</w:t>
        </w:r>
        <w:r w:rsidR="00951EB5">
          <w:rPr>
            <w:noProof/>
            <w:webHidden/>
          </w:rPr>
          <w:fldChar w:fldCharType="end"/>
        </w:r>
      </w:hyperlink>
    </w:p>
    <w:p w:rsidR="009E7793" w:rsidRDefault="00E319FD">
      <w:pPr>
        <w:pStyle w:val="TableofFigures"/>
        <w:tabs>
          <w:tab w:val="right" w:leader="dot" w:pos="9350"/>
        </w:tabs>
        <w:rPr>
          <w:noProof/>
        </w:rPr>
      </w:pPr>
      <w:hyperlink w:anchor="_Toc287342485" w:history="1">
        <w:r w:rsidR="009E7793" w:rsidRPr="000A4B2F">
          <w:rPr>
            <w:rStyle w:val="Hyperlink"/>
            <w:noProof/>
          </w:rPr>
          <w:t>Table 44  MBRR SA10 – Funding compliance measurement</w:t>
        </w:r>
        <w:r w:rsidR="009E7793">
          <w:rPr>
            <w:noProof/>
            <w:webHidden/>
          </w:rPr>
          <w:tab/>
        </w:r>
        <w:r w:rsidR="00951EB5">
          <w:rPr>
            <w:noProof/>
            <w:webHidden/>
          </w:rPr>
          <w:fldChar w:fldCharType="begin"/>
        </w:r>
        <w:r w:rsidR="009E7793">
          <w:rPr>
            <w:noProof/>
            <w:webHidden/>
          </w:rPr>
          <w:instrText xml:space="preserve"> PAGEREF _Toc287342485 \h </w:instrText>
        </w:r>
        <w:r w:rsidR="00951EB5">
          <w:rPr>
            <w:noProof/>
            <w:webHidden/>
          </w:rPr>
        </w:r>
        <w:r w:rsidR="00951EB5">
          <w:rPr>
            <w:noProof/>
            <w:webHidden/>
          </w:rPr>
          <w:fldChar w:fldCharType="separate"/>
        </w:r>
        <w:r w:rsidR="00544739">
          <w:rPr>
            <w:noProof/>
            <w:webHidden/>
          </w:rPr>
          <w:t>62</w:t>
        </w:r>
        <w:r w:rsidR="00951EB5">
          <w:rPr>
            <w:noProof/>
            <w:webHidden/>
          </w:rPr>
          <w:fldChar w:fldCharType="end"/>
        </w:r>
      </w:hyperlink>
    </w:p>
    <w:p w:rsidR="009E7793" w:rsidRDefault="00E319FD">
      <w:pPr>
        <w:pStyle w:val="TableofFigures"/>
        <w:tabs>
          <w:tab w:val="right" w:leader="dot" w:pos="9350"/>
        </w:tabs>
        <w:rPr>
          <w:noProof/>
        </w:rPr>
      </w:pPr>
      <w:hyperlink w:anchor="_Toc287342486" w:history="1">
        <w:r w:rsidR="009E7793" w:rsidRPr="000A4B2F">
          <w:rPr>
            <w:rStyle w:val="Hyperlink"/>
            <w:noProof/>
          </w:rPr>
          <w:t>Table 45 MBRR SA19 - Expenditure on transfers and grant programmes</w:t>
        </w:r>
        <w:r w:rsidR="009E7793">
          <w:rPr>
            <w:noProof/>
            <w:webHidden/>
          </w:rPr>
          <w:tab/>
        </w:r>
        <w:r w:rsidR="00951EB5">
          <w:rPr>
            <w:noProof/>
            <w:webHidden/>
          </w:rPr>
          <w:fldChar w:fldCharType="begin"/>
        </w:r>
        <w:r w:rsidR="009E7793">
          <w:rPr>
            <w:noProof/>
            <w:webHidden/>
          </w:rPr>
          <w:instrText xml:space="preserve"> PAGEREF _Toc287342486 \h </w:instrText>
        </w:r>
        <w:r w:rsidR="00951EB5">
          <w:rPr>
            <w:noProof/>
            <w:webHidden/>
          </w:rPr>
        </w:r>
        <w:r w:rsidR="00951EB5">
          <w:rPr>
            <w:noProof/>
            <w:webHidden/>
          </w:rPr>
          <w:fldChar w:fldCharType="separate"/>
        </w:r>
        <w:r w:rsidR="00544739">
          <w:rPr>
            <w:noProof/>
            <w:webHidden/>
          </w:rPr>
          <w:t>65</w:t>
        </w:r>
        <w:r w:rsidR="00951EB5">
          <w:rPr>
            <w:noProof/>
            <w:webHidden/>
          </w:rPr>
          <w:fldChar w:fldCharType="end"/>
        </w:r>
      </w:hyperlink>
    </w:p>
    <w:p w:rsidR="009E7793" w:rsidRDefault="00E319FD">
      <w:pPr>
        <w:pStyle w:val="TableofFigures"/>
        <w:tabs>
          <w:tab w:val="right" w:leader="dot" w:pos="9350"/>
        </w:tabs>
        <w:rPr>
          <w:noProof/>
        </w:rPr>
      </w:pPr>
      <w:hyperlink w:anchor="_Toc287342487" w:history="1">
        <w:r w:rsidR="009E7793" w:rsidRPr="000A4B2F">
          <w:rPr>
            <w:rStyle w:val="Hyperlink"/>
            <w:noProof/>
          </w:rPr>
          <w:t>Table 46  MBRR SA 20 - Reconciliation between of transfers, grant receipts and unspent funds</w:t>
        </w:r>
        <w:r w:rsidR="009E7793">
          <w:rPr>
            <w:noProof/>
            <w:webHidden/>
          </w:rPr>
          <w:tab/>
        </w:r>
        <w:r w:rsidR="00951EB5">
          <w:rPr>
            <w:noProof/>
            <w:webHidden/>
          </w:rPr>
          <w:fldChar w:fldCharType="begin"/>
        </w:r>
        <w:r w:rsidR="009E7793">
          <w:rPr>
            <w:noProof/>
            <w:webHidden/>
          </w:rPr>
          <w:instrText xml:space="preserve"> PAGEREF _Toc287342487 \h </w:instrText>
        </w:r>
        <w:r w:rsidR="00951EB5">
          <w:rPr>
            <w:noProof/>
            <w:webHidden/>
          </w:rPr>
        </w:r>
        <w:r w:rsidR="00951EB5">
          <w:rPr>
            <w:noProof/>
            <w:webHidden/>
          </w:rPr>
          <w:fldChar w:fldCharType="separate"/>
        </w:r>
        <w:r w:rsidR="00544739">
          <w:rPr>
            <w:noProof/>
            <w:webHidden/>
          </w:rPr>
          <w:t>66</w:t>
        </w:r>
        <w:r w:rsidR="00951EB5">
          <w:rPr>
            <w:noProof/>
            <w:webHidden/>
          </w:rPr>
          <w:fldChar w:fldCharType="end"/>
        </w:r>
      </w:hyperlink>
    </w:p>
    <w:p w:rsidR="009E7793" w:rsidRDefault="00E319FD">
      <w:pPr>
        <w:pStyle w:val="TableofFigures"/>
        <w:tabs>
          <w:tab w:val="right" w:leader="dot" w:pos="9350"/>
        </w:tabs>
        <w:rPr>
          <w:noProof/>
        </w:rPr>
      </w:pPr>
      <w:hyperlink w:anchor="_Toc287342488" w:history="1">
        <w:r w:rsidR="009E7793" w:rsidRPr="000A4B2F">
          <w:rPr>
            <w:rStyle w:val="Hyperlink"/>
            <w:noProof/>
          </w:rPr>
          <w:t>Table 47  MBRR SA22 - Summary of councillor and staff benefits</w:t>
        </w:r>
        <w:r w:rsidR="009E7793">
          <w:rPr>
            <w:noProof/>
            <w:webHidden/>
          </w:rPr>
          <w:tab/>
        </w:r>
        <w:r w:rsidR="00951EB5">
          <w:rPr>
            <w:noProof/>
            <w:webHidden/>
          </w:rPr>
          <w:fldChar w:fldCharType="begin"/>
        </w:r>
        <w:r w:rsidR="009E7793">
          <w:rPr>
            <w:noProof/>
            <w:webHidden/>
          </w:rPr>
          <w:instrText xml:space="preserve"> PAGEREF _Toc287342488 \h </w:instrText>
        </w:r>
        <w:r w:rsidR="00951EB5">
          <w:rPr>
            <w:noProof/>
            <w:webHidden/>
          </w:rPr>
        </w:r>
        <w:r w:rsidR="00951EB5">
          <w:rPr>
            <w:noProof/>
            <w:webHidden/>
          </w:rPr>
          <w:fldChar w:fldCharType="separate"/>
        </w:r>
        <w:r w:rsidR="00544739">
          <w:rPr>
            <w:noProof/>
            <w:webHidden/>
          </w:rPr>
          <w:t>67</w:t>
        </w:r>
        <w:r w:rsidR="00951EB5">
          <w:rPr>
            <w:noProof/>
            <w:webHidden/>
          </w:rPr>
          <w:fldChar w:fldCharType="end"/>
        </w:r>
      </w:hyperlink>
    </w:p>
    <w:p w:rsidR="009E7793" w:rsidRDefault="00E319FD">
      <w:pPr>
        <w:pStyle w:val="TableofFigures"/>
        <w:tabs>
          <w:tab w:val="right" w:leader="dot" w:pos="9350"/>
        </w:tabs>
        <w:rPr>
          <w:noProof/>
        </w:rPr>
      </w:pPr>
      <w:hyperlink w:anchor="_Toc287342489" w:history="1">
        <w:r w:rsidR="009E7793" w:rsidRPr="000A4B2F">
          <w:rPr>
            <w:rStyle w:val="Hyperlink"/>
            <w:noProof/>
          </w:rPr>
          <w:t>Table 48  MBRR SA23 - Salaries, allowances and benefits (political office bearers/councillors/ senior managers)</w:t>
        </w:r>
        <w:r w:rsidR="009E7793">
          <w:rPr>
            <w:noProof/>
            <w:webHidden/>
          </w:rPr>
          <w:tab/>
        </w:r>
        <w:r w:rsidR="00951EB5">
          <w:rPr>
            <w:noProof/>
            <w:webHidden/>
          </w:rPr>
          <w:fldChar w:fldCharType="begin"/>
        </w:r>
        <w:r w:rsidR="009E7793">
          <w:rPr>
            <w:noProof/>
            <w:webHidden/>
          </w:rPr>
          <w:instrText xml:space="preserve"> PAGEREF _Toc287342489 \h </w:instrText>
        </w:r>
        <w:r w:rsidR="00951EB5">
          <w:rPr>
            <w:noProof/>
            <w:webHidden/>
          </w:rPr>
        </w:r>
        <w:r w:rsidR="00951EB5">
          <w:rPr>
            <w:noProof/>
            <w:webHidden/>
          </w:rPr>
          <w:fldChar w:fldCharType="separate"/>
        </w:r>
        <w:r w:rsidR="00544739">
          <w:rPr>
            <w:noProof/>
            <w:webHidden/>
          </w:rPr>
          <w:t>68</w:t>
        </w:r>
        <w:r w:rsidR="00951EB5">
          <w:rPr>
            <w:noProof/>
            <w:webHidden/>
          </w:rPr>
          <w:fldChar w:fldCharType="end"/>
        </w:r>
      </w:hyperlink>
    </w:p>
    <w:p w:rsidR="009E7793" w:rsidRDefault="00E319FD">
      <w:pPr>
        <w:pStyle w:val="TableofFigures"/>
        <w:tabs>
          <w:tab w:val="right" w:leader="dot" w:pos="9350"/>
        </w:tabs>
        <w:rPr>
          <w:noProof/>
        </w:rPr>
      </w:pPr>
      <w:hyperlink w:anchor="_Toc287342490" w:history="1">
        <w:r w:rsidR="009E7793" w:rsidRPr="000A4B2F">
          <w:rPr>
            <w:rStyle w:val="Hyperlink"/>
            <w:noProof/>
          </w:rPr>
          <w:t>Table 49  MBRR SA24 – Summary of personnel numbers</w:t>
        </w:r>
        <w:r w:rsidR="009E7793">
          <w:rPr>
            <w:noProof/>
            <w:webHidden/>
          </w:rPr>
          <w:tab/>
        </w:r>
        <w:r w:rsidR="00951EB5">
          <w:rPr>
            <w:noProof/>
            <w:webHidden/>
          </w:rPr>
          <w:fldChar w:fldCharType="begin"/>
        </w:r>
        <w:r w:rsidR="009E7793">
          <w:rPr>
            <w:noProof/>
            <w:webHidden/>
          </w:rPr>
          <w:instrText xml:space="preserve"> PAGEREF _Toc287342490 \h </w:instrText>
        </w:r>
        <w:r w:rsidR="00951EB5">
          <w:rPr>
            <w:noProof/>
            <w:webHidden/>
          </w:rPr>
        </w:r>
        <w:r w:rsidR="00951EB5">
          <w:rPr>
            <w:noProof/>
            <w:webHidden/>
          </w:rPr>
          <w:fldChar w:fldCharType="separate"/>
        </w:r>
        <w:r w:rsidR="00544739">
          <w:rPr>
            <w:noProof/>
            <w:webHidden/>
          </w:rPr>
          <w:t>69</w:t>
        </w:r>
        <w:r w:rsidR="00951EB5">
          <w:rPr>
            <w:noProof/>
            <w:webHidden/>
          </w:rPr>
          <w:fldChar w:fldCharType="end"/>
        </w:r>
      </w:hyperlink>
    </w:p>
    <w:p w:rsidR="009E7793" w:rsidRDefault="00E319FD">
      <w:pPr>
        <w:pStyle w:val="TableofFigures"/>
        <w:tabs>
          <w:tab w:val="right" w:leader="dot" w:pos="9350"/>
        </w:tabs>
        <w:rPr>
          <w:noProof/>
        </w:rPr>
      </w:pPr>
      <w:hyperlink w:anchor="_Toc287342491" w:history="1">
        <w:r w:rsidR="009E7793" w:rsidRPr="000A4B2F">
          <w:rPr>
            <w:rStyle w:val="Hyperlink"/>
            <w:noProof/>
          </w:rPr>
          <w:t>Table 50  MBRR SA25 - Budgeted monthly revenue and expenditure</w:t>
        </w:r>
        <w:r w:rsidR="009E7793">
          <w:rPr>
            <w:noProof/>
            <w:webHidden/>
          </w:rPr>
          <w:tab/>
        </w:r>
        <w:r w:rsidR="00951EB5">
          <w:rPr>
            <w:noProof/>
            <w:webHidden/>
          </w:rPr>
          <w:fldChar w:fldCharType="begin"/>
        </w:r>
        <w:r w:rsidR="009E7793">
          <w:rPr>
            <w:noProof/>
            <w:webHidden/>
          </w:rPr>
          <w:instrText xml:space="preserve"> PAGEREF _Toc287342491 \h </w:instrText>
        </w:r>
        <w:r w:rsidR="00951EB5">
          <w:rPr>
            <w:noProof/>
            <w:webHidden/>
          </w:rPr>
        </w:r>
        <w:r w:rsidR="00951EB5">
          <w:rPr>
            <w:noProof/>
            <w:webHidden/>
          </w:rPr>
          <w:fldChar w:fldCharType="separate"/>
        </w:r>
        <w:r w:rsidR="00544739">
          <w:rPr>
            <w:noProof/>
            <w:webHidden/>
          </w:rPr>
          <w:t>70</w:t>
        </w:r>
        <w:r w:rsidR="00951EB5">
          <w:rPr>
            <w:noProof/>
            <w:webHidden/>
          </w:rPr>
          <w:fldChar w:fldCharType="end"/>
        </w:r>
      </w:hyperlink>
    </w:p>
    <w:p w:rsidR="009E7793" w:rsidRDefault="00E319FD">
      <w:pPr>
        <w:pStyle w:val="TableofFigures"/>
        <w:tabs>
          <w:tab w:val="right" w:leader="dot" w:pos="9350"/>
        </w:tabs>
        <w:rPr>
          <w:noProof/>
        </w:rPr>
      </w:pPr>
      <w:hyperlink w:anchor="_Toc287342492" w:history="1">
        <w:r w:rsidR="009E7793" w:rsidRPr="000A4B2F">
          <w:rPr>
            <w:rStyle w:val="Hyperlink"/>
            <w:noProof/>
          </w:rPr>
          <w:t>Table 51  MBRR SA26 - Budgeted monthly revenue and expenditure (municipal vote)</w:t>
        </w:r>
        <w:r w:rsidR="009E7793">
          <w:rPr>
            <w:noProof/>
            <w:webHidden/>
          </w:rPr>
          <w:tab/>
        </w:r>
        <w:r w:rsidR="00951EB5">
          <w:rPr>
            <w:noProof/>
            <w:webHidden/>
          </w:rPr>
          <w:fldChar w:fldCharType="begin"/>
        </w:r>
        <w:r w:rsidR="009E7793">
          <w:rPr>
            <w:noProof/>
            <w:webHidden/>
          </w:rPr>
          <w:instrText xml:space="preserve"> PAGEREF _Toc287342492 \h </w:instrText>
        </w:r>
        <w:r w:rsidR="00951EB5">
          <w:rPr>
            <w:noProof/>
            <w:webHidden/>
          </w:rPr>
        </w:r>
        <w:r w:rsidR="00951EB5">
          <w:rPr>
            <w:noProof/>
            <w:webHidden/>
          </w:rPr>
          <w:fldChar w:fldCharType="separate"/>
        </w:r>
        <w:r w:rsidR="00544739">
          <w:rPr>
            <w:noProof/>
            <w:webHidden/>
          </w:rPr>
          <w:t>71</w:t>
        </w:r>
        <w:r w:rsidR="00951EB5">
          <w:rPr>
            <w:noProof/>
            <w:webHidden/>
          </w:rPr>
          <w:fldChar w:fldCharType="end"/>
        </w:r>
      </w:hyperlink>
    </w:p>
    <w:p w:rsidR="009E7793" w:rsidRDefault="00E319FD">
      <w:pPr>
        <w:pStyle w:val="TableofFigures"/>
        <w:tabs>
          <w:tab w:val="right" w:leader="dot" w:pos="9350"/>
        </w:tabs>
        <w:rPr>
          <w:noProof/>
        </w:rPr>
      </w:pPr>
      <w:hyperlink w:anchor="_Toc287342493" w:history="1">
        <w:r w:rsidR="009E7793" w:rsidRPr="000A4B2F">
          <w:rPr>
            <w:rStyle w:val="Hyperlink"/>
            <w:noProof/>
          </w:rPr>
          <w:t>Table 52  MBRR SA27 - Budgeted monthly revenue and expenditure (standard classification)</w:t>
        </w:r>
        <w:r w:rsidR="009E7793">
          <w:rPr>
            <w:noProof/>
            <w:webHidden/>
          </w:rPr>
          <w:tab/>
        </w:r>
        <w:r w:rsidR="00951EB5">
          <w:rPr>
            <w:noProof/>
            <w:webHidden/>
          </w:rPr>
          <w:fldChar w:fldCharType="begin"/>
        </w:r>
        <w:r w:rsidR="009E7793">
          <w:rPr>
            <w:noProof/>
            <w:webHidden/>
          </w:rPr>
          <w:instrText xml:space="preserve"> PAGEREF _Toc287342493 \h </w:instrText>
        </w:r>
        <w:r w:rsidR="00951EB5">
          <w:rPr>
            <w:noProof/>
            <w:webHidden/>
          </w:rPr>
        </w:r>
        <w:r w:rsidR="00951EB5">
          <w:rPr>
            <w:noProof/>
            <w:webHidden/>
          </w:rPr>
          <w:fldChar w:fldCharType="separate"/>
        </w:r>
        <w:r w:rsidR="00544739">
          <w:rPr>
            <w:noProof/>
            <w:webHidden/>
          </w:rPr>
          <w:t>72</w:t>
        </w:r>
        <w:r w:rsidR="00951EB5">
          <w:rPr>
            <w:noProof/>
            <w:webHidden/>
          </w:rPr>
          <w:fldChar w:fldCharType="end"/>
        </w:r>
      </w:hyperlink>
    </w:p>
    <w:p w:rsidR="009E7793" w:rsidRDefault="00E319FD">
      <w:pPr>
        <w:pStyle w:val="TableofFigures"/>
        <w:tabs>
          <w:tab w:val="right" w:leader="dot" w:pos="9350"/>
        </w:tabs>
        <w:rPr>
          <w:noProof/>
        </w:rPr>
      </w:pPr>
      <w:hyperlink w:anchor="_Toc287342494" w:history="1">
        <w:r w:rsidR="009E7793" w:rsidRPr="000A4B2F">
          <w:rPr>
            <w:rStyle w:val="Hyperlink"/>
            <w:noProof/>
          </w:rPr>
          <w:t>Table 53  MBRR SA28 - Budgeted monthly capital expenditure (municipal vote)</w:t>
        </w:r>
        <w:r w:rsidR="009E7793">
          <w:rPr>
            <w:noProof/>
            <w:webHidden/>
          </w:rPr>
          <w:tab/>
        </w:r>
        <w:r w:rsidR="00951EB5">
          <w:rPr>
            <w:noProof/>
            <w:webHidden/>
          </w:rPr>
          <w:fldChar w:fldCharType="begin"/>
        </w:r>
        <w:r w:rsidR="009E7793">
          <w:rPr>
            <w:noProof/>
            <w:webHidden/>
          </w:rPr>
          <w:instrText xml:space="preserve"> PAGEREF _Toc287342494 \h </w:instrText>
        </w:r>
        <w:r w:rsidR="00951EB5">
          <w:rPr>
            <w:noProof/>
            <w:webHidden/>
          </w:rPr>
        </w:r>
        <w:r w:rsidR="00951EB5">
          <w:rPr>
            <w:noProof/>
            <w:webHidden/>
          </w:rPr>
          <w:fldChar w:fldCharType="separate"/>
        </w:r>
        <w:r w:rsidR="00544739">
          <w:rPr>
            <w:noProof/>
            <w:webHidden/>
          </w:rPr>
          <w:t>73</w:t>
        </w:r>
        <w:r w:rsidR="00951EB5">
          <w:rPr>
            <w:noProof/>
            <w:webHidden/>
          </w:rPr>
          <w:fldChar w:fldCharType="end"/>
        </w:r>
      </w:hyperlink>
    </w:p>
    <w:p w:rsidR="009E7793" w:rsidRDefault="00E319FD">
      <w:pPr>
        <w:pStyle w:val="TableofFigures"/>
        <w:tabs>
          <w:tab w:val="right" w:leader="dot" w:pos="9350"/>
        </w:tabs>
        <w:rPr>
          <w:noProof/>
        </w:rPr>
      </w:pPr>
      <w:hyperlink w:anchor="_Toc287342495" w:history="1">
        <w:r w:rsidR="009E7793" w:rsidRPr="000A4B2F">
          <w:rPr>
            <w:rStyle w:val="Hyperlink"/>
            <w:noProof/>
          </w:rPr>
          <w:t>Table 54  MBRR SA29 - Budgeted monthly capital expenditure (standard classification)</w:t>
        </w:r>
        <w:r w:rsidR="009E7793">
          <w:rPr>
            <w:noProof/>
            <w:webHidden/>
          </w:rPr>
          <w:tab/>
        </w:r>
        <w:r w:rsidR="00951EB5">
          <w:rPr>
            <w:noProof/>
            <w:webHidden/>
          </w:rPr>
          <w:fldChar w:fldCharType="begin"/>
        </w:r>
        <w:r w:rsidR="009E7793">
          <w:rPr>
            <w:noProof/>
            <w:webHidden/>
          </w:rPr>
          <w:instrText xml:space="preserve"> PAGEREF _Toc287342495 \h </w:instrText>
        </w:r>
        <w:r w:rsidR="00951EB5">
          <w:rPr>
            <w:noProof/>
            <w:webHidden/>
          </w:rPr>
        </w:r>
        <w:r w:rsidR="00951EB5">
          <w:rPr>
            <w:noProof/>
            <w:webHidden/>
          </w:rPr>
          <w:fldChar w:fldCharType="separate"/>
        </w:r>
        <w:r w:rsidR="00544739">
          <w:rPr>
            <w:noProof/>
            <w:webHidden/>
          </w:rPr>
          <w:t>74</w:t>
        </w:r>
        <w:r w:rsidR="00951EB5">
          <w:rPr>
            <w:noProof/>
            <w:webHidden/>
          </w:rPr>
          <w:fldChar w:fldCharType="end"/>
        </w:r>
      </w:hyperlink>
    </w:p>
    <w:p w:rsidR="009E7793" w:rsidRDefault="00E319FD">
      <w:pPr>
        <w:pStyle w:val="TableofFigures"/>
        <w:tabs>
          <w:tab w:val="right" w:leader="dot" w:pos="9350"/>
        </w:tabs>
        <w:rPr>
          <w:noProof/>
        </w:rPr>
      </w:pPr>
      <w:hyperlink w:anchor="_Toc287342496" w:history="1">
        <w:r w:rsidR="009E7793" w:rsidRPr="000A4B2F">
          <w:rPr>
            <w:rStyle w:val="Hyperlink"/>
            <w:noProof/>
          </w:rPr>
          <w:t>Table 55  MBRR SA30 - Budgeted monthly cash flow</w:t>
        </w:r>
        <w:r w:rsidR="009E7793">
          <w:rPr>
            <w:noProof/>
            <w:webHidden/>
          </w:rPr>
          <w:tab/>
        </w:r>
        <w:r w:rsidR="00951EB5">
          <w:rPr>
            <w:noProof/>
            <w:webHidden/>
          </w:rPr>
          <w:fldChar w:fldCharType="begin"/>
        </w:r>
        <w:r w:rsidR="009E7793">
          <w:rPr>
            <w:noProof/>
            <w:webHidden/>
          </w:rPr>
          <w:instrText xml:space="preserve"> PAGEREF _Toc287342496 \h </w:instrText>
        </w:r>
        <w:r w:rsidR="00951EB5">
          <w:rPr>
            <w:noProof/>
            <w:webHidden/>
          </w:rPr>
        </w:r>
        <w:r w:rsidR="00951EB5">
          <w:rPr>
            <w:noProof/>
            <w:webHidden/>
          </w:rPr>
          <w:fldChar w:fldCharType="separate"/>
        </w:r>
        <w:r w:rsidR="00544739">
          <w:rPr>
            <w:noProof/>
            <w:webHidden/>
          </w:rPr>
          <w:t>75</w:t>
        </w:r>
        <w:r w:rsidR="00951EB5">
          <w:rPr>
            <w:noProof/>
            <w:webHidden/>
          </w:rPr>
          <w:fldChar w:fldCharType="end"/>
        </w:r>
      </w:hyperlink>
    </w:p>
    <w:p w:rsidR="009E7793" w:rsidRDefault="00E319FD">
      <w:pPr>
        <w:pStyle w:val="TableofFigures"/>
        <w:tabs>
          <w:tab w:val="right" w:leader="dot" w:pos="9350"/>
        </w:tabs>
        <w:rPr>
          <w:noProof/>
        </w:rPr>
      </w:pPr>
      <w:hyperlink w:anchor="_Toc287342497" w:history="1">
        <w:r w:rsidR="009E7793" w:rsidRPr="000A4B2F">
          <w:rPr>
            <w:rStyle w:val="Hyperlink"/>
            <w:noProof/>
          </w:rPr>
          <w:t xml:space="preserve">Table 56  Water Services Department - operating revenue by source, expenditure by type and total </w:t>
        </w:r>
      </w:hyperlink>
    </w:p>
    <w:p w:rsidR="009E7793" w:rsidRDefault="00E319FD">
      <w:pPr>
        <w:pStyle w:val="TableofFigures"/>
        <w:tabs>
          <w:tab w:val="right" w:leader="dot" w:pos="9350"/>
        </w:tabs>
        <w:rPr>
          <w:noProof/>
        </w:rPr>
      </w:pPr>
      <w:hyperlink w:anchor="_Toc287342499" w:history="1">
        <w:r w:rsidR="009E7793" w:rsidRPr="000A4B2F">
          <w:rPr>
            <w:rStyle w:val="Hyperlink"/>
            <w:noProof/>
          </w:rPr>
          <w:t>Table 58  MBRR SA 34a - Capital expenditure on new assets by asset class</w:t>
        </w:r>
        <w:r w:rsidR="009E7793">
          <w:rPr>
            <w:noProof/>
            <w:webHidden/>
          </w:rPr>
          <w:tab/>
        </w:r>
        <w:r w:rsidR="00951EB5">
          <w:rPr>
            <w:noProof/>
            <w:webHidden/>
          </w:rPr>
          <w:fldChar w:fldCharType="begin"/>
        </w:r>
        <w:r w:rsidR="009E7793">
          <w:rPr>
            <w:noProof/>
            <w:webHidden/>
          </w:rPr>
          <w:instrText xml:space="preserve"> PAGEREF _Toc287342499 \h </w:instrText>
        </w:r>
        <w:r w:rsidR="00951EB5">
          <w:rPr>
            <w:noProof/>
            <w:webHidden/>
          </w:rPr>
        </w:r>
        <w:r w:rsidR="00951EB5">
          <w:rPr>
            <w:noProof/>
            <w:webHidden/>
          </w:rPr>
          <w:fldChar w:fldCharType="separate"/>
        </w:r>
        <w:r w:rsidR="00544739">
          <w:rPr>
            <w:noProof/>
            <w:webHidden/>
          </w:rPr>
          <w:t>78</w:t>
        </w:r>
        <w:r w:rsidR="00951EB5">
          <w:rPr>
            <w:noProof/>
            <w:webHidden/>
          </w:rPr>
          <w:fldChar w:fldCharType="end"/>
        </w:r>
      </w:hyperlink>
    </w:p>
    <w:p w:rsidR="009E7793" w:rsidRDefault="00E319FD">
      <w:pPr>
        <w:pStyle w:val="TableofFigures"/>
        <w:tabs>
          <w:tab w:val="right" w:leader="dot" w:pos="9350"/>
        </w:tabs>
        <w:rPr>
          <w:noProof/>
        </w:rPr>
      </w:pPr>
      <w:hyperlink w:anchor="_Toc287342500" w:history="1">
        <w:r w:rsidR="009E7793" w:rsidRPr="000A4B2F">
          <w:rPr>
            <w:rStyle w:val="Hyperlink"/>
            <w:noProof/>
          </w:rPr>
          <w:t>Table 59  MBRR SA34b - Capital expenditure on the renewal of existing assets by asset class</w:t>
        </w:r>
        <w:r w:rsidR="009E7793">
          <w:rPr>
            <w:noProof/>
            <w:webHidden/>
          </w:rPr>
          <w:tab/>
        </w:r>
        <w:r w:rsidR="00951EB5">
          <w:rPr>
            <w:noProof/>
            <w:webHidden/>
          </w:rPr>
          <w:fldChar w:fldCharType="begin"/>
        </w:r>
        <w:r w:rsidR="009E7793">
          <w:rPr>
            <w:noProof/>
            <w:webHidden/>
          </w:rPr>
          <w:instrText xml:space="preserve"> PAGEREF _Toc287342500 \h </w:instrText>
        </w:r>
        <w:r w:rsidR="00951EB5">
          <w:rPr>
            <w:noProof/>
            <w:webHidden/>
          </w:rPr>
        </w:r>
        <w:r w:rsidR="00951EB5">
          <w:rPr>
            <w:noProof/>
            <w:webHidden/>
          </w:rPr>
          <w:fldChar w:fldCharType="separate"/>
        </w:r>
        <w:r w:rsidR="00544739">
          <w:rPr>
            <w:noProof/>
            <w:webHidden/>
          </w:rPr>
          <w:t>79</w:t>
        </w:r>
        <w:r w:rsidR="00951EB5">
          <w:rPr>
            <w:noProof/>
            <w:webHidden/>
          </w:rPr>
          <w:fldChar w:fldCharType="end"/>
        </w:r>
      </w:hyperlink>
    </w:p>
    <w:p w:rsidR="009E7793" w:rsidRDefault="00E319FD">
      <w:pPr>
        <w:pStyle w:val="TableofFigures"/>
        <w:tabs>
          <w:tab w:val="right" w:leader="dot" w:pos="9350"/>
        </w:tabs>
        <w:rPr>
          <w:noProof/>
        </w:rPr>
      </w:pPr>
      <w:hyperlink w:anchor="_Toc287342501" w:history="1">
        <w:r w:rsidR="009E7793" w:rsidRPr="000A4B2F">
          <w:rPr>
            <w:rStyle w:val="Hyperlink"/>
            <w:noProof/>
          </w:rPr>
          <w:t>Table 60  MBRR SA34c - Repairs and maintenance expenditure by asset class</w:t>
        </w:r>
        <w:r w:rsidR="009E7793">
          <w:rPr>
            <w:noProof/>
            <w:webHidden/>
          </w:rPr>
          <w:tab/>
        </w:r>
        <w:r w:rsidR="00951EB5">
          <w:rPr>
            <w:noProof/>
            <w:webHidden/>
          </w:rPr>
          <w:fldChar w:fldCharType="begin"/>
        </w:r>
        <w:r w:rsidR="009E7793">
          <w:rPr>
            <w:noProof/>
            <w:webHidden/>
          </w:rPr>
          <w:instrText xml:space="preserve"> PAGEREF _Toc287342501 \h </w:instrText>
        </w:r>
        <w:r w:rsidR="00951EB5">
          <w:rPr>
            <w:noProof/>
            <w:webHidden/>
          </w:rPr>
        </w:r>
        <w:r w:rsidR="00951EB5">
          <w:rPr>
            <w:noProof/>
            <w:webHidden/>
          </w:rPr>
          <w:fldChar w:fldCharType="separate"/>
        </w:r>
        <w:r w:rsidR="00544739">
          <w:rPr>
            <w:noProof/>
            <w:webHidden/>
          </w:rPr>
          <w:t>80</w:t>
        </w:r>
        <w:r w:rsidR="00951EB5">
          <w:rPr>
            <w:noProof/>
            <w:webHidden/>
          </w:rPr>
          <w:fldChar w:fldCharType="end"/>
        </w:r>
      </w:hyperlink>
    </w:p>
    <w:p w:rsidR="009E7793" w:rsidRDefault="00E319FD">
      <w:pPr>
        <w:pStyle w:val="TableofFigures"/>
        <w:tabs>
          <w:tab w:val="right" w:leader="dot" w:pos="9350"/>
        </w:tabs>
        <w:rPr>
          <w:noProof/>
        </w:rPr>
      </w:pPr>
      <w:hyperlink w:anchor="_Toc287342502" w:history="1">
        <w:r w:rsidR="009E7793" w:rsidRPr="000A4B2F">
          <w:rPr>
            <w:rStyle w:val="Hyperlink"/>
            <w:noProof/>
          </w:rPr>
          <w:t>Table 61  MBRR SA35 - Future financial implications of the capital budget</w:t>
        </w:r>
        <w:r w:rsidR="009E7793">
          <w:rPr>
            <w:noProof/>
            <w:webHidden/>
          </w:rPr>
          <w:tab/>
        </w:r>
        <w:r w:rsidR="00951EB5">
          <w:rPr>
            <w:noProof/>
            <w:webHidden/>
          </w:rPr>
          <w:fldChar w:fldCharType="begin"/>
        </w:r>
        <w:r w:rsidR="009E7793">
          <w:rPr>
            <w:noProof/>
            <w:webHidden/>
          </w:rPr>
          <w:instrText xml:space="preserve"> PAGEREF _Toc287342502 \h </w:instrText>
        </w:r>
        <w:r w:rsidR="00951EB5">
          <w:rPr>
            <w:noProof/>
            <w:webHidden/>
          </w:rPr>
        </w:r>
        <w:r w:rsidR="00951EB5">
          <w:rPr>
            <w:noProof/>
            <w:webHidden/>
          </w:rPr>
          <w:fldChar w:fldCharType="separate"/>
        </w:r>
        <w:r w:rsidR="00544739">
          <w:rPr>
            <w:noProof/>
            <w:webHidden/>
          </w:rPr>
          <w:t>81</w:t>
        </w:r>
        <w:r w:rsidR="00951EB5">
          <w:rPr>
            <w:noProof/>
            <w:webHidden/>
          </w:rPr>
          <w:fldChar w:fldCharType="end"/>
        </w:r>
      </w:hyperlink>
    </w:p>
    <w:p w:rsidR="009E7793" w:rsidRDefault="00E319FD">
      <w:pPr>
        <w:pStyle w:val="TableofFigures"/>
        <w:tabs>
          <w:tab w:val="right" w:leader="dot" w:pos="9350"/>
        </w:tabs>
        <w:rPr>
          <w:noProof/>
        </w:rPr>
      </w:pPr>
      <w:hyperlink w:anchor="_Toc287342503" w:history="1">
        <w:r w:rsidR="009E7793" w:rsidRPr="000A4B2F">
          <w:rPr>
            <w:rStyle w:val="Hyperlink"/>
            <w:noProof/>
          </w:rPr>
          <w:t>Table 62  MBRR SA36 - Detailed capital budget per municipal vote</w:t>
        </w:r>
        <w:r w:rsidR="009E7793">
          <w:rPr>
            <w:noProof/>
            <w:webHidden/>
          </w:rPr>
          <w:tab/>
        </w:r>
        <w:r w:rsidR="00951EB5">
          <w:rPr>
            <w:noProof/>
            <w:webHidden/>
          </w:rPr>
          <w:fldChar w:fldCharType="begin"/>
        </w:r>
        <w:r w:rsidR="009E7793">
          <w:rPr>
            <w:noProof/>
            <w:webHidden/>
          </w:rPr>
          <w:instrText xml:space="preserve"> PAGEREF _Toc287342503 \h </w:instrText>
        </w:r>
        <w:r w:rsidR="00951EB5">
          <w:rPr>
            <w:noProof/>
            <w:webHidden/>
          </w:rPr>
        </w:r>
        <w:r w:rsidR="00951EB5">
          <w:rPr>
            <w:noProof/>
            <w:webHidden/>
          </w:rPr>
          <w:fldChar w:fldCharType="separate"/>
        </w:r>
        <w:r w:rsidR="00544739">
          <w:rPr>
            <w:noProof/>
            <w:webHidden/>
          </w:rPr>
          <w:t>82</w:t>
        </w:r>
        <w:r w:rsidR="00951EB5">
          <w:rPr>
            <w:noProof/>
            <w:webHidden/>
          </w:rPr>
          <w:fldChar w:fldCharType="end"/>
        </w:r>
      </w:hyperlink>
    </w:p>
    <w:p w:rsidR="009E7793" w:rsidRDefault="00E319FD">
      <w:pPr>
        <w:pStyle w:val="TableofFigures"/>
        <w:tabs>
          <w:tab w:val="right" w:leader="dot" w:pos="9350"/>
        </w:tabs>
        <w:rPr>
          <w:noProof/>
        </w:rPr>
      </w:pPr>
      <w:hyperlink w:anchor="_Toc287342505" w:history="1">
        <w:r w:rsidR="009E7793" w:rsidRPr="000A4B2F">
          <w:rPr>
            <w:rStyle w:val="Hyperlink"/>
            <w:noProof/>
          </w:rPr>
          <w:t>Table 64  MBRR Table SA1 - Supporting detail to budgeted financial performance</w:t>
        </w:r>
        <w:r w:rsidR="009E7793">
          <w:rPr>
            <w:noProof/>
            <w:webHidden/>
          </w:rPr>
          <w:tab/>
        </w:r>
        <w:r w:rsidR="00951EB5">
          <w:rPr>
            <w:noProof/>
            <w:webHidden/>
          </w:rPr>
          <w:fldChar w:fldCharType="begin"/>
        </w:r>
        <w:r w:rsidR="009E7793">
          <w:rPr>
            <w:noProof/>
            <w:webHidden/>
          </w:rPr>
          <w:instrText xml:space="preserve"> PAGEREF _Toc287342505 \h </w:instrText>
        </w:r>
        <w:r w:rsidR="00951EB5">
          <w:rPr>
            <w:noProof/>
            <w:webHidden/>
          </w:rPr>
        </w:r>
        <w:r w:rsidR="00951EB5">
          <w:rPr>
            <w:noProof/>
            <w:webHidden/>
          </w:rPr>
          <w:fldChar w:fldCharType="separate"/>
        </w:r>
        <w:r w:rsidR="00544739">
          <w:rPr>
            <w:noProof/>
            <w:webHidden/>
          </w:rPr>
          <w:t>84</w:t>
        </w:r>
        <w:r w:rsidR="00951EB5">
          <w:rPr>
            <w:noProof/>
            <w:webHidden/>
          </w:rPr>
          <w:fldChar w:fldCharType="end"/>
        </w:r>
      </w:hyperlink>
    </w:p>
    <w:p w:rsidR="009E7793" w:rsidRDefault="00E319FD">
      <w:pPr>
        <w:pStyle w:val="TableofFigures"/>
        <w:tabs>
          <w:tab w:val="right" w:leader="dot" w:pos="9350"/>
        </w:tabs>
        <w:rPr>
          <w:noProof/>
        </w:rPr>
      </w:pPr>
      <w:hyperlink w:anchor="_Toc287342506" w:history="1">
        <w:r w:rsidR="009E7793" w:rsidRPr="000A4B2F">
          <w:rPr>
            <w:rStyle w:val="Hyperlink"/>
            <w:noProof/>
          </w:rPr>
          <w:t>Table 65  MBRR Table SA2 – Matrix financial performance budget (revenue source/expenditure type and department)</w:t>
        </w:r>
        <w:r w:rsidR="009E7793">
          <w:rPr>
            <w:noProof/>
            <w:webHidden/>
          </w:rPr>
          <w:tab/>
        </w:r>
        <w:r w:rsidR="00951EB5">
          <w:rPr>
            <w:noProof/>
            <w:webHidden/>
          </w:rPr>
          <w:fldChar w:fldCharType="begin"/>
        </w:r>
        <w:r w:rsidR="009E7793">
          <w:rPr>
            <w:noProof/>
            <w:webHidden/>
          </w:rPr>
          <w:instrText xml:space="preserve"> PAGEREF _Toc287342506 \h </w:instrText>
        </w:r>
        <w:r w:rsidR="00951EB5">
          <w:rPr>
            <w:noProof/>
            <w:webHidden/>
          </w:rPr>
        </w:r>
        <w:r w:rsidR="00951EB5">
          <w:rPr>
            <w:noProof/>
            <w:webHidden/>
          </w:rPr>
          <w:fldChar w:fldCharType="separate"/>
        </w:r>
        <w:r w:rsidR="00544739">
          <w:rPr>
            <w:noProof/>
            <w:webHidden/>
          </w:rPr>
          <w:t>86</w:t>
        </w:r>
        <w:r w:rsidR="00951EB5">
          <w:rPr>
            <w:noProof/>
            <w:webHidden/>
          </w:rPr>
          <w:fldChar w:fldCharType="end"/>
        </w:r>
      </w:hyperlink>
    </w:p>
    <w:p w:rsidR="009E7793" w:rsidRDefault="00E319FD">
      <w:pPr>
        <w:pStyle w:val="TableofFigures"/>
        <w:tabs>
          <w:tab w:val="right" w:leader="dot" w:pos="9350"/>
        </w:tabs>
        <w:rPr>
          <w:noProof/>
        </w:rPr>
      </w:pPr>
      <w:hyperlink w:anchor="_Toc287342507" w:history="1">
        <w:r w:rsidR="009E7793" w:rsidRPr="000A4B2F">
          <w:rPr>
            <w:rStyle w:val="Hyperlink"/>
            <w:noProof/>
          </w:rPr>
          <w:t>Table 66  MBRR Table SA3 – Supporting detail to Statement of Financial Position</w:t>
        </w:r>
        <w:r w:rsidR="009E7793">
          <w:rPr>
            <w:noProof/>
            <w:webHidden/>
          </w:rPr>
          <w:tab/>
        </w:r>
        <w:r w:rsidR="00951EB5">
          <w:rPr>
            <w:noProof/>
            <w:webHidden/>
          </w:rPr>
          <w:fldChar w:fldCharType="begin"/>
        </w:r>
        <w:r w:rsidR="009E7793">
          <w:rPr>
            <w:noProof/>
            <w:webHidden/>
          </w:rPr>
          <w:instrText xml:space="preserve"> PAGEREF _Toc287342507 \h </w:instrText>
        </w:r>
        <w:r w:rsidR="00951EB5">
          <w:rPr>
            <w:noProof/>
            <w:webHidden/>
          </w:rPr>
        </w:r>
        <w:r w:rsidR="00951EB5">
          <w:rPr>
            <w:noProof/>
            <w:webHidden/>
          </w:rPr>
          <w:fldChar w:fldCharType="separate"/>
        </w:r>
        <w:r w:rsidR="00544739">
          <w:rPr>
            <w:noProof/>
            <w:webHidden/>
          </w:rPr>
          <w:t>87</w:t>
        </w:r>
        <w:r w:rsidR="00951EB5">
          <w:rPr>
            <w:noProof/>
            <w:webHidden/>
          </w:rPr>
          <w:fldChar w:fldCharType="end"/>
        </w:r>
      </w:hyperlink>
    </w:p>
    <w:p w:rsidR="009E7793" w:rsidRDefault="00E319FD">
      <w:pPr>
        <w:pStyle w:val="TableofFigures"/>
        <w:tabs>
          <w:tab w:val="right" w:leader="dot" w:pos="9350"/>
        </w:tabs>
        <w:rPr>
          <w:noProof/>
        </w:rPr>
      </w:pPr>
      <w:hyperlink w:anchor="_Toc287342508" w:history="1">
        <w:r w:rsidR="009E7793" w:rsidRPr="000A4B2F">
          <w:rPr>
            <w:rStyle w:val="Hyperlink"/>
            <w:noProof/>
          </w:rPr>
          <w:t>Table 67  MBRR Table SA9 – Social, economic and demographic statistics and assumptions</w:t>
        </w:r>
        <w:r w:rsidR="009E7793">
          <w:rPr>
            <w:noProof/>
            <w:webHidden/>
          </w:rPr>
          <w:tab/>
        </w:r>
        <w:r w:rsidR="00951EB5">
          <w:rPr>
            <w:noProof/>
            <w:webHidden/>
          </w:rPr>
          <w:fldChar w:fldCharType="begin"/>
        </w:r>
        <w:r w:rsidR="009E7793">
          <w:rPr>
            <w:noProof/>
            <w:webHidden/>
          </w:rPr>
          <w:instrText xml:space="preserve"> PAGEREF _Toc287342508 \h </w:instrText>
        </w:r>
        <w:r w:rsidR="00951EB5">
          <w:rPr>
            <w:noProof/>
            <w:webHidden/>
          </w:rPr>
        </w:r>
        <w:r w:rsidR="00951EB5">
          <w:rPr>
            <w:noProof/>
            <w:webHidden/>
          </w:rPr>
          <w:fldChar w:fldCharType="separate"/>
        </w:r>
        <w:r w:rsidR="00544739">
          <w:rPr>
            <w:noProof/>
            <w:webHidden/>
          </w:rPr>
          <w:t>88</w:t>
        </w:r>
        <w:r w:rsidR="00951EB5">
          <w:rPr>
            <w:noProof/>
            <w:webHidden/>
          </w:rPr>
          <w:fldChar w:fldCharType="end"/>
        </w:r>
      </w:hyperlink>
    </w:p>
    <w:p w:rsidR="009E7793" w:rsidRDefault="00E319FD">
      <w:pPr>
        <w:pStyle w:val="TableofFigures"/>
        <w:tabs>
          <w:tab w:val="right" w:leader="dot" w:pos="9350"/>
        </w:tabs>
        <w:rPr>
          <w:noProof/>
        </w:rPr>
      </w:pPr>
      <w:hyperlink w:anchor="_Toc287342509" w:history="1">
        <w:r w:rsidR="009E7793" w:rsidRPr="000A4B2F">
          <w:rPr>
            <w:rStyle w:val="Hyperlink"/>
            <w:noProof/>
          </w:rPr>
          <w:t>Table 68  MBRR SA32 – List of external mechanisms</w:t>
        </w:r>
        <w:r w:rsidR="009E7793">
          <w:rPr>
            <w:noProof/>
            <w:webHidden/>
          </w:rPr>
          <w:tab/>
        </w:r>
        <w:r w:rsidR="00951EB5">
          <w:rPr>
            <w:noProof/>
            <w:webHidden/>
          </w:rPr>
          <w:fldChar w:fldCharType="begin"/>
        </w:r>
        <w:r w:rsidR="009E7793">
          <w:rPr>
            <w:noProof/>
            <w:webHidden/>
          </w:rPr>
          <w:instrText xml:space="preserve"> PAGEREF _Toc287342509 \h </w:instrText>
        </w:r>
        <w:r w:rsidR="00951EB5">
          <w:rPr>
            <w:noProof/>
            <w:webHidden/>
          </w:rPr>
        </w:r>
        <w:r w:rsidR="00951EB5">
          <w:rPr>
            <w:noProof/>
            <w:webHidden/>
          </w:rPr>
          <w:fldChar w:fldCharType="separate"/>
        </w:r>
        <w:r w:rsidR="00544739">
          <w:rPr>
            <w:noProof/>
            <w:webHidden/>
          </w:rPr>
          <w:t>88</w:t>
        </w:r>
        <w:r w:rsidR="00951EB5">
          <w:rPr>
            <w:noProof/>
            <w:webHidden/>
          </w:rPr>
          <w:fldChar w:fldCharType="end"/>
        </w:r>
      </w:hyperlink>
    </w:p>
    <w:p w:rsidR="003E133E" w:rsidRDefault="00951EB5" w:rsidP="001A4CB2">
      <w:pPr>
        <w:rPr>
          <w:rFonts w:ascii="Arial" w:hAnsi="Arial" w:cs="Arial"/>
          <w:b/>
          <w:sz w:val="28"/>
          <w:szCs w:val="28"/>
        </w:rPr>
      </w:pPr>
      <w:r>
        <w:rPr>
          <w:rFonts w:ascii="Arial" w:hAnsi="Arial" w:cs="Arial"/>
          <w:b/>
          <w:sz w:val="28"/>
          <w:szCs w:val="28"/>
        </w:rPr>
        <w:fldChar w:fldCharType="end"/>
      </w:r>
    </w:p>
    <w:p w:rsidR="00500DEB" w:rsidRDefault="003E133E" w:rsidP="001A4CB2">
      <w:pPr>
        <w:rPr>
          <w:rFonts w:ascii="Arial" w:hAnsi="Arial" w:cs="Arial"/>
          <w:b/>
          <w:sz w:val="28"/>
          <w:szCs w:val="28"/>
        </w:rPr>
      </w:pPr>
      <w:r>
        <w:rPr>
          <w:rFonts w:ascii="Arial" w:hAnsi="Arial" w:cs="Arial"/>
          <w:b/>
          <w:sz w:val="28"/>
          <w:szCs w:val="28"/>
        </w:rPr>
        <w:t xml:space="preserve">List of </w:t>
      </w:r>
      <w:r w:rsidR="00500DEB" w:rsidRPr="009B31E6">
        <w:rPr>
          <w:rFonts w:ascii="Arial" w:hAnsi="Arial" w:cs="Arial"/>
          <w:b/>
          <w:sz w:val="28"/>
          <w:szCs w:val="28"/>
        </w:rPr>
        <w:t>Figures</w:t>
      </w:r>
      <w:bookmarkEnd w:id="1"/>
      <w:bookmarkEnd w:id="2"/>
    </w:p>
    <w:p w:rsidR="009E7793" w:rsidRDefault="00951EB5">
      <w:pPr>
        <w:pStyle w:val="TableofFigures"/>
        <w:tabs>
          <w:tab w:val="right" w:leader="dot" w:pos="9350"/>
        </w:tabs>
        <w:rPr>
          <w:noProof/>
        </w:rPr>
      </w:pPr>
      <w:r>
        <w:rPr>
          <w:rFonts w:ascii="Arial" w:hAnsi="Arial" w:cs="Arial"/>
          <w:b/>
          <w:sz w:val="28"/>
          <w:szCs w:val="28"/>
        </w:rPr>
        <w:fldChar w:fldCharType="begin"/>
      </w:r>
      <w:r w:rsidR="00A651BC">
        <w:rPr>
          <w:rFonts w:ascii="Arial" w:hAnsi="Arial" w:cs="Arial"/>
          <w:b/>
          <w:sz w:val="28"/>
          <w:szCs w:val="28"/>
        </w:rPr>
        <w:instrText xml:space="preserve"> TOC \h \z \c "Figure" </w:instrText>
      </w:r>
      <w:r>
        <w:rPr>
          <w:rFonts w:ascii="Arial" w:hAnsi="Arial" w:cs="Arial"/>
          <w:b/>
          <w:sz w:val="28"/>
          <w:szCs w:val="28"/>
        </w:rPr>
        <w:fldChar w:fldCharType="separate"/>
      </w:r>
      <w:hyperlink w:anchor="_Toc287342510" w:history="1">
        <w:r w:rsidR="009E7793" w:rsidRPr="00F77CB4">
          <w:rPr>
            <w:rStyle w:val="Hyperlink"/>
            <w:noProof/>
          </w:rPr>
          <w:t>Figure 1  Main operational expend</w:t>
        </w:r>
        <w:r w:rsidR="004F7739">
          <w:rPr>
            <w:rStyle w:val="Hyperlink"/>
            <w:noProof/>
          </w:rPr>
          <w:t xml:space="preserve">iture categories for the </w:t>
        </w:r>
        <w:r w:rsidR="00E319FD">
          <w:rPr>
            <w:rStyle w:val="Hyperlink"/>
            <w:noProof/>
          </w:rPr>
          <w:t>2019/20</w:t>
        </w:r>
        <w:r w:rsidR="009E7793" w:rsidRPr="00F77CB4">
          <w:rPr>
            <w:rStyle w:val="Hyperlink"/>
            <w:noProof/>
          </w:rPr>
          <w:t xml:space="preserve"> financial year</w:t>
        </w:r>
        <w:r w:rsidR="009E7793">
          <w:rPr>
            <w:noProof/>
            <w:webHidden/>
          </w:rPr>
          <w:tab/>
        </w:r>
        <w:r>
          <w:rPr>
            <w:noProof/>
            <w:webHidden/>
          </w:rPr>
          <w:fldChar w:fldCharType="begin"/>
        </w:r>
        <w:r w:rsidR="009E7793">
          <w:rPr>
            <w:noProof/>
            <w:webHidden/>
          </w:rPr>
          <w:instrText xml:space="preserve"> PAGEREF _Toc287342510 \h </w:instrText>
        </w:r>
        <w:r>
          <w:rPr>
            <w:noProof/>
            <w:webHidden/>
          </w:rPr>
        </w:r>
        <w:r>
          <w:rPr>
            <w:noProof/>
            <w:webHidden/>
          </w:rPr>
          <w:fldChar w:fldCharType="separate"/>
        </w:r>
        <w:r w:rsidR="00544739">
          <w:rPr>
            <w:noProof/>
            <w:webHidden/>
          </w:rPr>
          <w:t>14</w:t>
        </w:r>
        <w:r>
          <w:rPr>
            <w:noProof/>
            <w:webHidden/>
          </w:rPr>
          <w:fldChar w:fldCharType="end"/>
        </w:r>
      </w:hyperlink>
    </w:p>
    <w:p w:rsidR="009E7793" w:rsidRDefault="00E319FD">
      <w:pPr>
        <w:pStyle w:val="TableofFigures"/>
        <w:tabs>
          <w:tab w:val="right" w:leader="dot" w:pos="9350"/>
        </w:tabs>
        <w:rPr>
          <w:noProof/>
        </w:rPr>
      </w:pPr>
      <w:hyperlink w:anchor="_Toc287342511" w:history="1">
        <w:r w:rsidR="009E7793" w:rsidRPr="00F77CB4">
          <w:rPr>
            <w:rStyle w:val="Hyperlink"/>
            <w:noProof/>
          </w:rPr>
          <w:t>Figure 2  Capital Infrastructure Programme</w:t>
        </w:r>
        <w:r w:rsidR="009E7793">
          <w:rPr>
            <w:noProof/>
            <w:webHidden/>
          </w:rPr>
          <w:tab/>
        </w:r>
        <w:r w:rsidR="00951EB5">
          <w:rPr>
            <w:noProof/>
            <w:webHidden/>
          </w:rPr>
          <w:fldChar w:fldCharType="begin"/>
        </w:r>
        <w:r w:rsidR="009E7793">
          <w:rPr>
            <w:noProof/>
            <w:webHidden/>
          </w:rPr>
          <w:instrText xml:space="preserve"> PAGEREF _Toc287342511 \h </w:instrText>
        </w:r>
        <w:r w:rsidR="00951EB5">
          <w:rPr>
            <w:noProof/>
            <w:webHidden/>
          </w:rPr>
        </w:r>
        <w:r w:rsidR="00951EB5">
          <w:rPr>
            <w:noProof/>
            <w:webHidden/>
          </w:rPr>
          <w:fldChar w:fldCharType="separate"/>
        </w:r>
        <w:r w:rsidR="00544739">
          <w:rPr>
            <w:noProof/>
            <w:webHidden/>
          </w:rPr>
          <w:t>17</w:t>
        </w:r>
        <w:r w:rsidR="00951EB5">
          <w:rPr>
            <w:noProof/>
            <w:webHidden/>
          </w:rPr>
          <w:fldChar w:fldCharType="end"/>
        </w:r>
      </w:hyperlink>
    </w:p>
    <w:p w:rsidR="009E7793" w:rsidRDefault="00E319FD">
      <w:pPr>
        <w:pStyle w:val="TableofFigures"/>
        <w:tabs>
          <w:tab w:val="right" w:leader="dot" w:pos="9350"/>
        </w:tabs>
        <w:rPr>
          <w:noProof/>
        </w:rPr>
      </w:pPr>
      <w:hyperlink w:anchor="_Toc287342512" w:history="1">
        <w:r w:rsidR="009E7793" w:rsidRPr="00F77CB4">
          <w:rPr>
            <w:rStyle w:val="Hyperlink"/>
            <w:noProof/>
          </w:rPr>
          <w:t>Figure 3  Expenditure by major type</w:t>
        </w:r>
        <w:r w:rsidR="009E7793">
          <w:rPr>
            <w:noProof/>
            <w:webHidden/>
          </w:rPr>
          <w:tab/>
        </w:r>
        <w:r w:rsidR="00951EB5">
          <w:rPr>
            <w:noProof/>
            <w:webHidden/>
          </w:rPr>
          <w:fldChar w:fldCharType="begin"/>
        </w:r>
        <w:r w:rsidR="009E7793">
          <w:rPr>
            <w:noProof/>
            <w:webHidden/>
          </w:rPr>
          <w:instrText xml:space="preserve"> PAGEREF _Toc287342512 \h </w:instrText>
        </w:r>
        <w:r w:rsidR="00951EB5">
          <w:rPr>
            <w:noProof/>
            <w:webHidden/>
          </w:rPr>
        </w:r>
        <w:r w:rsidR="00951EB5">
          <w:rPr>
            <w:noProof/>
            <w:webHidden/>
          </w:rPr>
          <w:fldChar w:fldCharType="separate"/>
        </w:r>
        <w:r w:rsidR="00544739">
          <w:rPr>
            <w:noProof/>
            <w:webHidden/>
          </w:rPr>
          <w:t>25</w:t>
        </w:r>
        <w:r w:rsidR="00951EB5">
          <w:rPr>
            <w:noProof/>
            <w:webHidden/>
          </w:rPr>
          <w:fldChar w:fldCharType="end"/>
        </w:r>
      </w:hyperlink>
    </w:p>
    <w:p w:rsidR="009E7793" w:rsidRDefault="00E319FD">
      <w:pPr>
        <w:pStyle w:val="TableofFigures"/>
        <w:tabs>
          <w:tab w:val="right" w:leader="dot" w:pos="9350"/>
        </w:tabs>
        <w:rPr>
          <w:noProof/>
        </w:rPr>
      </w:pPr>
      <w:hyperlink w:anchor="_Toc287342514" w:history="1">
        <w:r w:rsidR="009E7793" w:rsidRPr="00F77CB4">
          <w:rPr>
            <w:rStyle w:val="Hyperlink"/>
            <w:noProof/>
          </w:rPr>
          <w:t>Figure 5  Planning, budgeting and reporting cycle</w:t>
        </w:r>
        <w:r w:rsidR="009E7793">
          <w:rPr>
            <w:noProof/>
            <w:webHidden/>
          </w:rPr>
          <w:tab/>
        </w:r>
        <w:r w:rsidR="00951EB5">
          <w:rPr>
            <w:noProof/>
            <w:webHidden/>
          </w:rPr>
          <w:fldChar w:fldCharType="begin"/>
        </w:r>
        <w:r w:rsidR="009E7793">
          <w:rPr>
            <w:noProof/>
            <w:webHidden/>
          </w:rPr>
          <w:instrText xml:space="preserve"> PAGEREF _Toc287342514 \h </w:instrText>
        </w:r>
        <w:r w:rsidR="00951EB5">
          <w:rPr>
            <w:noProof/>
            <w:webHidden/>
          </w:rPr>
        </w:r>
        <w:r w:rsidR="00951EB5">
          <w:rPr>
            <w:noProof/>
            <w:webHidden/>
          </w:rPr>
          <w:fldChar w:fldCharType="separate"/>
        </w:r>
        <w:r w:rsidR="00544739">
          <w:rPr>
            <w:noProof/>
            <w:webHidden/>
          </w:rPr>
          <w:t>46</w:t>
        </w:r>
        <w:r w:rsidR="00951EB5">
          <w:rPr>
            <w:noProof/>
            <w:webHidden/>
          </w:rPr>
          <w:fldChar w:fldCharType="end"/>
        </w:r>
      </w:hyperlink>
    </w:p>
    <w:p w:rsidR="009E7793" w:rsidRDefault="00E319FD">
      <w:pPr>
        <w:pStyle w:val="TableofFigures"/>
        <w:tabs>
          <w:tab w:val="right" w:leader="dot" w:pos="9350"/>
        </w:tabs>
        <w:rPr>
          <w:noProof/>
        </w:rPr>
      </w:pPr>
      <w:hyperlink w:anchor="_Toc287342515" w:history="1">
        <w:r w:rsidR="009E7793" w:rsidRPr="00F77CB4">
          <w:rPr>
            <w:rStyle w:val="Hyperlink"/>
            <w:noProof/>
          </w:rPr>
          <w:t>Figure 6  Definition of performance information concepts</w:t>
        </w:r>
        <w:r w:rsidR="009E7793">
          <w:rPr>
            <w:noProof/>
            <w:webHidden/>
          </w:rPr>
          <w:tab/>
        </w:r>
        <w:r w:rsidR="00951EB5">
          <w:rPr>
            <w:noProof/>
            <w:webHidden/>
          </w:rPr>
          <w:fldChar w:fldCharType="begin"/>
        </w:r>
        <w:r w:rsidR="009E7793">
          <w:rPr>
            <w:noProof/>
            <w:webHidden/>
          </w:rPr>
          <w:instrText xml:space="preserve"> PAGEREF _Toc287342515 \h </w:instrText>
        </w:r>
        <w:r w:rsidR="00951EB5">
          <w:rPr>
            <w:noProof/>
            <w:webHidden/>
          </w:rPr>
        </w:r>
        <w:r w:rsidR="00951EB5">
          <w:rPr>
            <w:noProof/>
            <w:webHidden/>
          </w:rPr>
          <w:fldChar w:fldCharType="separate"/>
        </w:r>
        <w:r w:rsidR="00544739">
          <w:rPr>
            <w:noProof/>
            <w:webHidden/>
          </w:rPr>
          <w:t>47</w:t>
        </w:r>
        <w:r w:rsidR="00951EB5">
          <w:rPr>
            <w:noProof/>
            <w:webHidden/>
          </w:rPr>
          <w:fldChar w:fldCharType="end"/>
        </w:r>
      </w:hyperlink>
    </w:p>
    <w:p w:rsidR="009E7793" w:rsidRDefault="00E319FD">
      <w:pPr>
        <w:pStyle w:val="TableofFigures"/>
        <w:tabs>
          <w:tab w:val="right" w:leader="dot" w:pos="9350"/>
        </w:tabs>
        <w:rPr>
          <w:noProof/>
        </w:rPr>
      </w:pPr>
      <w:hyperlink w:anchor="_Toc287342516" w:history="1">
        <w:r w:rsidR="009E7793" w:rsidRPr="00F77CB4">
          <w:rPr>
            <w:rStyle w:val="Hyperlink"/>
            <w:noProof/>
          </w:rPr>
          <w:t>Figure 7  Breakdown of op</w:t>
        </w:r>
        <w:r w:rsidR="004F7739">
          <w:rPr>
            <w:rStyle w:val="Hyperlink"/>
            <w:noProof/>
          </w:rPr>
          <w:t xml:space="preserve">erating revenue over the </w:t>
        </w:r>
        <w:r>
          <w:rPr>
            <w:rStyle w:val="Hyperlink"/>
            <w:noProof/>
          </w:rPr>
          <w:t>2019/20</w:t>
        </w:r>
        <w:r w:rsidR="009E7793" w:rsidRPr="00F77CB4">
          <w:rPr>
            <w:rStyle w:val="Hyperlink"/>
            <w:noProof/>
          </w:rPr>
          <w:t xml:space="preserve"> MTREF</w:t>
        </w:r>
        <w:r w:rsidR="009E7793">
          <w:rPr>
            <w:noProof/>
            <w:webHidden/>
          </w:rPr>
          <w:tab/>
        </w:r>
        <w:r w:rsidR="00951EB5">
          <w:rPr>
            <w:noProof/>
            <w:webHidden/>
          </w:rPr>
          <w:fldChar w:fldCharType="begin"/>
        </w:r>
        <w:r w:rsidR="009E7793">
          <w:rPr>
            <w:noProof/>
            <w:webHidden/>
          </w:rPr>
          <w:instrText xml:space="preserve"> PAGEREF _Toc287342516 \h </w:instrText>
        </w:r>
        <w:r w:rsidR="00951EB5">
          <w:rPr>
            <w:noProof/>
            <w:webHidden/>
          </w:rPr>
        </w:r>
        <w:r w:rsidR="00951EB5">
          <w:rPr>
            <w:noProof/>
            <w:webHidden/>
          </w:rPr>
          <w:fldChar w:fldCharType="separate"/>
        </w:r>
        <w:r w:rsidR="00544739">
          <w:rPr>
            <w:noProof/>
            <w:webHidden/>
          </w:rPr>
          <w:t>56</w:t>
        </w:r>
        <w:r w:rsidR="00951EB5">
          <w:rPr>
            <w:noProof/>
            <w:webHidden/>
          </w:rPr>
          <w:fldChar w:fldCharType="end"/>
        </w:r>
      </w:hyperlink>
    </w:p>
    <w:p w:rsidR="009E7793" w:rsidRDefault="00E319FD">
      <w:pPr>
        <w:pStyle w:val="TableofFigures"/>
        <w:tabs>
          <w:tab w:val="right" w:leader="dot" w:pos="9350"/>
        </w:tabs>
        <w:rPr>
          <w:noProof/>
        </w:rPr>
      </w:pPr>
      <w:hyperlink w:anchor="_Toc287342517" w:history="1">
        <w:r w:rsidR="009E7793" w:rsidRPr="00F77CB4">
          <w:rPr>
            <w:rStyle w:val="Hyperlink"/>
            <w:noProof/>
          </w:rPr>
          <w:t>Figure 8  Sources of</w:t>
        </w:r>
        <w:r w:rsidR="004F7739">
          <w:rPr>
            <w:rStyle w:val="Hyperlink"/>
            <w:noProof/>
          </w:rPr>
          <w:t xml:space="preserve"> capital revenue for the </w:t>
        </w:r>
        <w:r>
          <w:rPr>
            <w:rStyle w:val="Hyperlink"/>
            <w:noProof/>
          </w:rPr>
          <w:t>2019/20</w:t>
        </w:r>
        <w:r w:rsidR="009E7793" w:rsidRPr="00F77CB4">
          <w:rPr>
            <w:rStyle w:val="Hyperlink"/>
            <w:noProof/>
          </w:rPr>
          <w:t xml:space="preserve"> financial year</w:t>
        </w:r>
        <w:r w:rsidR="009E7793">
          <w:rPr>
            <w:noProof/>
            <w:webHidden/>
          </w:rPr>
          <w:tab/>
        </w:r>
        <w:r w:rsidR="00951EB5">
          <w:rPr>
            <w:noProof/>
            <w:webHidden/>
          </w:rPr>
          <w:fldChar w:fldCharType="begin"/>
        </w:r>
        <w:r w:rsidR="009E7793">
          <w:rPr>
            <w:noProof/>
            <w:webHidden/>
          </w:rPr>
          <w:instrText xml:space="preserve"> PAGEREF _Toc287342517 \h </w:instrText>
        </w:r>
        <w:r w:rsidR="00951EB5">
          <w:rPr>
            <w:noProof/>
            <w:webHidden/>
          </w:rPr>
        </w:r>
        <w:r w:rsidR="00951EB5">
          <w:rPr>
            <w:noProof/>
            <w:webHidden/>
          </w:rPr>
          <w:fldChar w:fldCharType="separate"/>
        </w:r>
        <w:r w:rsidR="00544739">
          <w:rPr>
            <w:noProof/>
            <w:webHidden/>
          </w:rPr>
          <w:t>58</w:t>
        </w:r>
        <w:r w:rsidR="00951EB5">
          <w:rPr>
            <w:noProof/>
            <w:webHidden/>
          </w:rPr>
          <w:fldChar w:fldCharType="end"/>
        </w:r>
      </w:hyperlink>
    </w:p>
    <w:p w:rsidR="009E7793" w:rsidRDefault="00E319FD">
      <w:pPr>
        <w:pStyle w:val="TableofFigures"/>
        <w:tabs>
          <w:tab w:val="right" w:leader="dot" w:pos="9350"/>
        </w:tabs>
        <w:rPr>
          <w:noProof/>
        </w:rPr>
      </w:pPr>
      <w:hyperlink w:anchor="_Toc287342518" w:history="1">
        <w:r w:rsidR="009E7793" w:rsidRPr="00F77CB4">
          <w:rPr>
            <w:rStyle w:val="Hyperlink"/>
            <w:noProof/>
          </w:rPr>
          <w:t>Figure 9  Growth in outstanding borrowing (long-term liabilities)</w:t>
        </w:r>
        <w:r w:rsidR="009E7793">
          <w:rPr>
            <w:noProof/>
            <w:webHidden/>
          </w:rPr>
          <w:tab/>
        </w:r>
        <w:r w:rsidR="00951EB5">
          <w:rPr>
            <w:noProof/>
            <w:webHidden/>
          </w:rPr>
          <w:fldChar w:fldCharType="begin"/>
        </w:r>
        <w:r w:rsidR="009E7793">
          <w:rPr>
            <w:noProof/>
            <w:webHidden/>
          </w:rPr>
          <w:instrText xml:space="preserve"> PAGEREF _Toc287342518 \h </w:instrText>
        </w:r>
        <w:r w:rsidR="00951EB5">
          <w:rPr>
            <w:noProof/>
            <w:webHidden/>
          </w:rPr>
        </w:r>
        <w:r w:rsidR="00951EB5">
          <w:rPr>
            <w:noProof/>
            <w:webHidden/>
          </w:rPr>
          <w:fldChar w:fldCharType="separate"/>
        </w:r>
        <w:r w:rsidR="00544739">
          <w:rPr>
            <w:noProof/>
            <w:webHidden/>
          </w:rPr>
          <w:t>59</w:t>
        </w:r>
        <w:r w:rsidR="00951EB5">
          <w:rPr>
            <w:noProof/>
            <w:webHidden/>
          </w:rPr>
          <w:fldChar w:fldCharType="end"/>
        </w:r>
      </w:hyperlink>
    </w:p>
    <w:p w:rsidR="00A651BC" w:rsidRPr="009B31E6" w:rsidRDefault="00951EB5" w:rsidP="001A4CB2">
      <w:pPr>
        <w:rPr>
          <w:rFonts w:ascii="Arial" w:hAnsi="Arial" w:cs="Arial"/>
          <w:b/>
          <w:sz w:val="28"/>
          <w:szCs w:val="28"/>
        </w:rPr>
      </w:pPr>
      <w:r>
        <w:rPr>
          <w:rFonts w:ascii="Arial" w:hAnsi="Arial" w:cs="Arial"/>
          <w:b/>
          <w:sz w:val="28"/>
          <w:szCs w:val="28"/>
        </w:rPr>
        <w:fldChar w:fldCharType="end"/>
      </w:r>
    </w:p>
    <w:p w:rsidR="00500DEB" w:rsidRPr="009B31E6" w:rsidRDefault="00826C8C" w:rsidP="001A4CB2">
      <w:pPr>
        <w:rPr>
          <w:rFonts w:ascii="Arial" w:hAnsi="Arial" w:cs="Arial"/>
          <w:b/>
          <w:sz w:val="28"/>
          <w:szCs w:val="28"/>
        </w:rPr>
      </w:pPr>
      <w:r>
        <w:br w:type="column"/>
      </w:r>
      <w:bookmarkStart w:id="3" w:name="_Toc286034088"/>
      <w:bookmarkStart w:id="4" w:name="_Toc286034679"/>
      <w:r w:rsidR="00500DEB" w:rsidRPr="009B31E6">
        <w:rPr>
          <w:rFonts w:ascii="Arial" w:hAnsi="Arial" w:cs="Arial"/>
          <w:b/>
          <w:sz w:val="28"/>
          <w:szCs w:val="28"/>
        </w:rPr>
        <w:t>Abbreviations and Acronyms</w:t>
      </w:r>
      <w:bookmarkEnd w:id="3"/>
      <w:bookmarkEnd w:id="4"/>
    </w:p>
    <w:p w:rsidR="00A651BC" w:rsidRDefault="00A651BC" w:rsidP="00826C8C">
      <w:pPr>
        <w:autoSpaceDE w:val="0"/>
        <w:autoSpaceDN w:val="0"/>
        <w:adjustRightInd w:val="0"/>
        <w:spacing w:after="0" w:line="240" w:lineRule="auto"/>
        <w:ind w:left="900" w:hanging="900"/>
        <w:rPr>
          <w:rFonts w:ascii="Arial" w:hAnsi="Arial" w:cs="Arial"/>
          <w:lang w:val="en-GB"/>
        </w:rPr>
        <w:sectPr w:rsidR="00A651BC" w:rsidSect="00FB075E">
          <w:headerReference w:type="default" r:id="rId14"/>
          <w:headerReference w:type="first" r:id="rId15"/>
          <w:footerReference w:type="first" r:id="rId16"/>
          <w:pgSz w:w="12240" w:h="15840"/>
          <w:pgMar w:top="1440" w:right="1440" w:bottom="1440" w:left="1440" w:header="708" w:footer="708" w:gutter="0"/>
          <w:pgNumType w:fmt="lowerRoman" w:start="1"/>
          <w:cols w:space="708"/>
          <w:titlePg/>
          <w:docGrid w:linePitch="360"/>
        </w:sectPr>
      </w:pP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AMR</w:t>
      </w:r>
      <w:r w:rsidRPr="00826C8C">
        <w:rPr>
          <w:rFonts w:ascii="Arial" w:hAnsi="Arial" w:cs="Arial"/>
          <w:lang w:val="en-GB"/>
        </w:rPr>
        <w:tab/>
        <w:t>Automated Meter Reading</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ASGISA</w:t>
      </w:r>
      <w:r w:rsidRPr="00826C8C">
        <w:rPr>
          <w:rFonts w:ascii="Arial" w:hAnsi="Arial" w:cs="Arial"/>
          <w:lang w:val="en-GB"/>
        </w:rPr>
        <w:tab/>
        <w:t>Accelerated and Shared Growth Initiative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BPC</w:t>
      </w:r>
      <w:r w:rsidRPr="00826C8C">
        <w:rPr>
          <w:rFonts w:ascii="Arial" w:hAnsi="Arial" w:cs="Arial"/>
          <w:lang w:val="en-GB"/>
        </w:rPr>
        <w:tab/>
        <w:t xml:space="preserve">Budget Planning </w:t>
      </w:r>
      <w:r w:rsidR="009549FB">
        <w:rPr>
          <w:rFonts w:ascii="Arial" w:hAnsi="Arial" w:cs="Arial"/>
          <w:lang w:val="en-GB"/>
        </w:rPr>
        <w:t>Committee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CBD</w:t>
      </w:r>
      <w:r w:rsidRPr="00826C8C">
        <w:rPr>
          <w:rFonts w:ascii="Arial" w:hAnsi="Arial" w:cs="Arial"/>
          <w:lang w:val="en-GB"/>
        </w:rPr>
        <w:tab/>
        <w:t>Central Business District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CFO</w:t>
      </w:r>
      <w:r w:rsidRPr="00826C8C">
        <w:rPr>
          <w:rFonts w:ascii="Arial" w:hAnsi="Arial" w:cs="Arial"/>
          <w:lang w:val="en-GB"/>
        </w:rPr>
        <w:tab/>
        <w:t>Chief Financial Officer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CM</w:t>
      </w:r>
      <w:r w:rsidRPr="00826C8C">
        <w:rPr>
          <w:rFonts w:ascii="Arial" w:hAnsi="Arial" w:cs="Arial"/>
          <w:lang w:val="en-GB"/>
        </w:rPr>
        <w:tab/>
        <w:t>City Manager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CPI</w:t>
      </w:r>
      <w:r w:rsidRPr="00826C8C">
        <w:rPr>
          <w:rFonts w:ascii="Arial" w:hAnsi="Arial" w:cs="Arial"/>
          <w:lang w:val="en-GB"/>
        </w:rPr>
        <w:tab/>
        <w:t>Consumer Price Index</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CRRF</w:t>
      </w:r>
      <w:r w:rsidRPr="00826C8C">
        <w:rPr>
          <w:rFonts w:ascii="Arial" w:hAnsi="Arial" w:cs="Arial"/>
          <w:lang w:val="en-GB"/>
        </w:rPr>
        <w:tab/>
        <w:t>Capital Replacement Reserve Fund</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DBSA</w:t>
      </w:r>
      <w:r w:rsidRPr="00826C8C">
        <w:rPr>
          <w:rFonts w:ascii="Arial" w:hAnsi="Arial" w:cs="Arial"/>
          <w:lang w:val="en-GB"/>
        </w:rPr>
        <w:tab/>
        <w:t>Development Bank of South Africa</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spellStart"/>
      <w:r w:rsidRPr="00826C8C">
        <w:rPr>
          <w:rFonts w:ascii="Arial" w:hAnsi="Arial" w:cs="Arial"/>
          <w:lang w:val="en-GB"/>
        </w:rPr>
        <w:t>DoRA</w:t>
      </w:r>
      <w:proofErr w:type="spellEnd"/>
      <w:r w:rsidRPr="00826C8C">
        <w:rPr>
          <w:rFonts w:ascii="Arial" w:hAnsi="Arial" w:cs="Arial"/>
          <w:lang w:val="en-GB"/>
        </w:rPr>
        <w:tab/>
        <w:t>Division of Revenue Act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DWA</w:t>
      </w:r>
      <w:r w:rsidRPr="00826C8C">
        <w:rPr>
          <w:rFonts w:ascii="Arial" w:hAnsi="Arial" w:cs="Arial"/>
          <w:lang w:val="en-GB"/>
        </w:rPr>
        <w:tab/>
        <w:t>Department of Water Affairs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EE</w:t>
      </w:r>
      <w:r w:rsidRPr="00826C8C">
        <w:rPr>
          <w:rFonts w:ascii="Arial" w:hAnsi="Arial" w:cs="Arial"/>
          <w:lang w:val="en-GB"/>
        </w:rPr>
        <w:tab/>
        <w:t>Employment Equity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EEDSM</w:t>
      </w:r>
      <w:r w:rsidRPr="00826C8C">
        <w:rPr>
          <w:rFonts w:ascii="Arial" w:hAnsi="Arial" w:cs="Arial"/>
          <w:lang w:val="en-GB"/>
        </w:rPr>
        <w:tab/>
        <w:t>Energy Efficiency Demand Side Management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EM</w:t>
      </w:r>
      <w:r w:rsidRPr="00826C8C">
        <w:rPr>
          <w:rFonts w:ascii="Arial" w:hAnsi="Arial" w:cs="Arial"/>
          <w:lang w:val="en-GB"/>
        </w:rPr>
        <w:tab/>
        <w:t>Executive Mayor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FBS</w:t>
      </w:r>
      <w:r w:rsidRPr="00826C8C">
        <w:rPr>
          <w:rFonts w:ascii="Arial" w:hAnsi="Arial" w:cs="Arial"/>
          <w:lang w:val="en-GB"/>
        </w:rPr>
        <w:tab/>
        <w:t>Free basic services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GAMAP</w:t>
      </w:r>
      <w:r w:rsidRPr="00826C8C">
        <w:rPr>
          <w:rFonts w:ascii="Arial" w:hAnsi="Arial" w:cs="Arial"/>
          <w:lang w:val="en-GB"/>
        </w:rPr>
        <w:tab/>
        <w:t>Generally Accepted Municipal Accounting Practice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GDP</w:t>
      </w:r>
      <w:r w:rsidRPr="00826C8C">
        <w:rPr>
          <w:rFonts w:ascii="Arial" w:hAnsi="Arial" w:cs="Arial"/>
          <w:lang w:val="en-GB"/>
        </w:rPr>
        <w:tab/>
        <w:t>Gross domestic product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GDS</w:t>
      </w:r>
      <w:r w:rsidRPr="00826C8C">
        <w:rPr>
          <w:rFonts w:ascii="Arial" w:hAnsi="Arial" w:cs="Arial"/>
          <w:lang w:val="en-GB"/>
        </w:rPr>
        <w:tab/>
        <w:t>Gauteng Growth and Development Strategy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GFS</w:t>
      </w:r>
      <w:r w:rsidRPr="00826C8C">
        <w:rPr>
          <w:rFonts w:ascii="Arial" w:hAnsi="Arial" w:cs="Arial"/>
          <w:lang w:val="en-GB"/>
        </w:rPr>
        <w:tab/>
        <w:t>G</w:t>
      </w:r>
      <w:r>
        <w:rPr>
          <w:rFonts w:ascii="Arial" w:hAnsi="Arial" w:cs="Arial"/>
          <w:lang w:val="en-GB"/>
        </w:rPr>
        <w:t>overnment Financial Statistics</w:t>
      </w:r>
      <w:r w:rsidRPr="00826C8C">
        <w:rPr>
          <w:rFonts w:ascii="Arial" w:hAnsi="Arial" w:cs="Arial"/>
          <w:lang w:val="en-GB"/>
        </w:rPr>
        <w:t xml:space="preserve"> </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GRAP</w:t>
      </w:r>
      <w:r w:rsidRPr="00826C8C">
        <w:rPr>
          <w:rFonts w:ascii="Arial" w:hAnsi="Arial" w:cs="Arial"/>
          <w:lang w:val="en-GB"/>
        </w:rPr>
        <w:tab/>
        <w:t>General Recognised Accounting Practice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HR</w:t>
      </w:r>
      <w:r w:rsidRPr="00826C8C">
        <w:rPr>
          <w:rFonts w:ascii="Arial" w:hAnsi="Arial" w:cs="Arial"/>
          <w:lang w:val="en-GB"/>
        </w:rPr>
        <w:tab/>
        <w:t>Human Resources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HSRC</w:t>
      </w:r>
      <w:r w:rsidRPr="00826C8C">
        <w:rPr>
          <w:rFonts w:ascii="Arial" w:hAnsi="Arial" w:cs="Arial"/>
          <w:lang w:val="en-GB"/>
        </w:rPr>
        <w:tab/>
        <w:t>Human Science Research Council</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IDP</w:t>
      </w:r>
      <w:r w:rsidRPr="00826C8C">
        <w:rPr>
          <w:rFonts w:ascii="Arial" w:hAnsi="Arial" w:cs="Arial"/>
          <w:lang w:val="en-GB"/>
        </w:rPr>
        <w:tab/>
        <w:t>Integrated Development Strategy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gramStart"/>
      <w:r w:rsidRPr="00826C8C">
        <w:rPr>
          <w:rFonts w:ascii="Arial" w:hAnsi="Arial" w:cs="Arial"/>
          <w:lang w:val="en-GB"/>
        </w:rPr>
        <w:t>IT</w:t>
      </w:r>
      <w:proofErr w:type="gramEnd"/>
      <w:r w:rsidRPr="00826C8C">
        <w:rPr>
          <w:rFonts w:ascii="Arial" w:hAnsi="Arial" w:cs="Arial"/>
          <w:lang w:val="en-GB"/>
        </w:rPr>
        <w:tab/>
        <w:t>Information Technology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gramStart"/>
      <w:r w:rsidRPr="00826C8C">
        <w:rPr>
          <w:rFonts w:ascii="Arial" w:hAnsi="Arial" w:cs="Arial"/>
          <w:lang w:val="en-GB"/>
        </w:rPr>
        <w:t>k</w:t>
      </w:r>
      <w:proofErr w:type="gramEnd"/>
      <w:r w:rsidRPr="00826C8C">
        <w:rPr>
          <w:rFonts w:ascii="Arial" w:hAnsi="Arial" w:cs="Arial"/>
          <w:lang w:val="en-GB"/>
        </w:rPr>
        <w:t>ℓ</w:t>
      </w:r>
      <w:r w:rsidRPr="00826C8C">
        <w:rPr>
          <w:rFonts w:ascii="Arial" w:hAnsi="Arial" w:cs="Arial"/>
          <w:lang w:val="en-GB"/>
        </w:rPr>
        <w:tab/>
        <w:t>kilolitre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gramStart"/>
      <w:r w:rsidRPr="00826C8C">
        <w:rPr>
          <w:rFonts w:ascii="Arial" w:hAnsi="Arial" w:cs="Arial"/>
          <w:lang w:val="en-GB"/>
        </w:rPr>
        <w:t>km</w:t>
      </w:r>
      <w:proofErr w:type="gramEnd"/>
      <w:r w:rsidRPr="00826C8C">
        <w:rPr>
          <w:rFonts w:ascii="Arial" w:hAnsi="Arial" w:cs="Arial"/>
          <w:lang w:val="en-GB"/>
        </w:rPr>
        <w:tab/>
        <w:t>kilometre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KPA</w:t>
      </w:r>
      <w:r w:rsidRPr="00826C8C">
        <w:rPr>
          <w:rFonts w:ascii="Arial" w:hAnsi="Arial" w:cs="Arial"/>
          <w:lang w:val="en-GB"/>
        </w:rPr>
        <w:tab/>
        <w:t>Key Performance Area</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KPI</w:t>
      </w:r>
      <w:r w:rsidRPr="00826C8C">
        <w:rPr>
          <w:rFonts w:ascii="Arial" w:hAnsi="Arial" w:cs="Arial"/>
          <w:lang w:val="en-GB"/>
        </w:rPr>
        <w:tab/>
        <w:t>Key Performance Indicator</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proofErr w:type="gramStart"/>
      <w:r w:rsidRPr="00826C8C">
        <w:rPr>
          <w:rFonts w:ascii="Arial" w:hAnsi="Arial" w:cs="Arial"/>
          <w:lang w:val="en-GB"/>
        </w:rPr>
        <w:t>kWh</w:t>
      </w:r>
      <w:proofErr w:type="gramEnd"/>
      <w:r w:rsidRPr="00826C8C">
        <w:rPr>
          <w:rFonts w:ascii="Arial" w:hAnsi="Arial" w:cs="Arial"/>
          <w:lang w:val="en-GB"/>
        </w:rPr>
        <w:tab/>
        <w:t>kilowatt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ℓ</w:t>
      </w:r>
      <w:r w:rsidRPr="00826C8C">
        <w:rPr>
          <w:rFonts w:ascii="Arial" w:hAnsi="Arial" w:cs="Arial"/>
          <w:lang w:val="en-GB"/>
        </w:rPr>
        <w:tab/>
      </w:r>
      <w:proofErr w:type="gramStart"/>
      <w:r w:rsidRPr="00826C8C">
        <w:rPr>
          <w:rFonts w:ascii="Arial" w:hAnsi="Arial" w:cs="Arial"/>
          <w:lang w:val="en-GB"/>
        </w:rPr>
        <w:t>litre</w:t>
      </w:r>
      <w:proofErr w:type="gramEnd"/>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LED</w:t>
      </w:r>
      <w:r w:rsidRPr="00826C8C">
        <w:rPr>
          <w:rFonts w:ascii="Arial" w:hAnsi="Arial" w:cs="Arial"/>
          <w:lang w:val="en-GB"/>
        </w:rPr>
        <w:tab/>
        <w:t>Local Economic Development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MEC</w:t>
      </w:r>
      <w:r w:rsidRPr="00826C8C">
        <w:rPr>
          <w:rFonts w:ascii="Arial" w:hAnsi="Arial" w:cs="Arial"/>
          <w:lang w:val="en-GB"/>
        </w:rPr>
        <w:tab/>
        <w:t>Member of the Executive Committee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MFMA</w:t>
      </w:r>
      <w:r w:rsidRPr="00826C8C">
        <w:rPr>
          <w:rFonts w:ascii="Arial" w:hAnsi="Arial" w:cs="Arial"/>
          <w:lang w:val="en-GB"/>
        </w:rPr>
        <w:tab/>
        <w:t>Municipal Financial Management Act</w:t>
      </w:r>
    </w:p>
    <w:p w:rsidR="00826C8C" w:rsidRPr="00826C8C" w:rsidRDefault="00826C8C" w:rsidP="00B374C8">
      <w:pPr>
        <w:autoSpaceDE w:val="0"/>
        <w:autoSpaceDN w:val="0"/>
        <w:adjustRightInd w:val="0"/>
        <w:spacing w:after="0" w:line="240" w:lineRule="auto"/>
        <w:ind w:left="900"/>
        <w:rPr>
          <w:rFonts w:ascii="Arial" w:hAnsi="Arial" w:cs="Arial"/>
          <w:lang w:val="en-GB"/>
        </w:rPr>
      </w:pPr>
      <w:r w:rsidRPr="00826C8C">
        <w:rPr>
          <w:rFonts w:ascii="Arial" w:hAnsi="Arial" w:cs="Arial"/>
          <w:lang w:val="en-GB"/>
        </w:rPr>
        <w:t>Programme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MIG</w:t>
      </w:r>
      <w:r w:rsidRPr="00826C8C">
        <w:rPr>
          <w:rFonts w:ascii="Arial" w:hAnsi="Arial" w:cs="Arial"/>
          <w:lang w:val="en-GB"/>
        </w:rPr>
        <w:tab/>
        <w:t>Municipal Infrastructure Grant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MMC</w:t>
      </w:r>
      <w:r w:rsidRPr="00826C8C">
        <w:rPr>
          <w:rFonts w:ascii="Arial" w:hAnsi="Arial" w:cs="Arial"/>
          <w:lang w:val="en-GB"/>
        </w:rPr>
        <w:tab/>
        <w:t>Member of Mayoral Committee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MPRA</w:t>
      </w:r>
      <w:r w:rsidRPr="00826C8C">
        <w:rPr>
          <w:rFonts w:ascii="Arial" w:hAnsi="Arial" w:cs="Arial"/>
          <w:lang w:val="en-GB"/>
        </w:rPr>
        <w:tab/>
        <w:t>Municipal Properties Rates Act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MSA</w:t>
      </w:r>
      <w:r w:rsidRPr="00826C8C">
        <w:rPr>
          <w:rFonts w:ascii="Arial" w:hAnsi="Arial" w:cs="Arial"/>
          <w:lang w:val="en-GB"/>
        </w:rPr>
        <w:tab/>
        <w:t>Municipal Systems Act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MTEF</w:t>
      </w:r>
      <w:r w:rsidRPr="00826C8C">
        <w:rPr>
          <w:rFonts w:ascii="Arial" w:hAnsi="Arial" w:cs="Arial"/>
          <w:lang w:val="en-GB"/>
        </w:rPr>
        <w:tab/>
        <w:t>Medium-term Expenditure Framework</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MTREF</w:t>
      </w:r>
      <w:r w:rsidRPr="00826C8C">
        <w:rPr>
          <w:rFonts w:ascii="Arial" w:hAnsi="Arial" w:cs="Arial"/>
          <w:lang w:val="en-GB"/>
        </w:rPr>
        <w:tab/>
        <w:t>Medium-term Revenue and Expenditure Framework</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NERSA</w:t>
      </w:r>
      <w:r w:rsidRPr="00826C8C">
        <w:rPr>
          <w:rFonts w:ascii="Arial" w:hAnsi="Arial" w:cs="Arial"/>
          <w:lang w:val="en-GB"/>
        </w:rPr>
        <w:tab/>
        <w:t>National Electricity Regulator South Africa</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NGO</w:t>
      </w:r>
      <w:r w:rsidRPr="00826C8C">
        <w:rPr>
          <w:rFonts w:ascii="Arial" w:hAnsi="Arial" w:cs="Arial"/>
          <w:lang w:val="en-GB"/>
        </w:rPr>
        <w:tab/>
        <w:t>Non-Governmental organisations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NKPIs</w:t>
      </w:r>
      <w:r w:rsidRPr="00826C8C">
        <w:rPr>
          <w:rFonts w:ascii="Arial" w:hAnsi="Arial" w:cs="Arial"/>
          <w:lang w:val="en-GB"/>
        </w:rPr>
        <w:tab/>
        <w:t>National Key Performance Indicators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OHS</w:t>
      </w:r>
      <w:r w:rsidRPr="00826C8C">
        <w:rPr>
          <w:rFonts w:ascii="Arial" w:hAnsi="Arial" w:cs="Arial"/>
          <w:lang w:val="en-GB"/>
        </w:rPr>
        <w:tab/>
        <w:t>Occupational Health and Safety</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OP</w:t>
      </w:r>
      <w:r w:rsidRPr="00826C8C">
        <w:rPr>
          <w:rFonts w:ascii="Arial" w:hAnsi="Arial" w:cs="Arial"/>
          <w:lang w:val="en-GB"/>
        </w:rPr>
        <w:tab/>
        <w:t>Operational Plan</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PBO</w:t>
      </w:r>
      <w:r w:rsidRPr="00826C8C">
        <w:rPr>
          <w:rFonts w:ascii="Arial" w:hAnsi="Arial" w:cs="Arial"/>
          <w:lang w:val="en-GB"/>
        </w:rPr>
        <w:tab/>
        <w:t>Public Benefit Organisations</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PHC</w:t>
      </w:r>
      <w:r w:rsidRPr="00826C8C">
        <w:rPr>
          <w:rFonts w:ascii="Arial" w:hAnsi="Arial" w:cs="Arial"/>
          <w:lang w:val="en-GB"/>
        </w:rPr>
        <w:tab/>
        <w:t>Provincial Health Care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PMS</w:t>
      </w:r>
      <w:r w:rsidRPr="00826C8C">
        <w:rPr>
          <w:rFonts w:ascii="Arial" w:hAnsi="Arial" w:cs="Arial"/>
          <w:lang w:val="en-GB"/>
        </w:rPr>
        <w:tab/>
        <w:t>Performance Management System</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PPE</w:t>
      </w:r>
      <w:r w:rsidRPr="00826C8C">
        <w:rPr>
          <w:rFonts w:ascii="Arial" w:hAnsi="Arial" w:cs="Arial"/>
          <w:lang w:val="en-GB"/>
        </w:rPr>
        <w:tab/>
        <w:t>Property Plant and Equipment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PPP</w:t>
      </w:r>
      <w:r w:rsidRPr="00826C8C">
        <w:rPr>
          <w:rFonts w:ascii="Arial" w:hAnsi="Arial" w:cs="Arial"/>
          <w:lang w:val="en-GB"/>
        </w:rPr>
        <w:tab/>
        <w:t>Public Private Partnership</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PTIS</w:t>
      </w:r>
      <w:r w:rsidRPr="00826C8C">
        <w:rPr>
          <w:rFonts w:ascii="Arial" w:hAnsi="Arial" w:cs="Arial"/>
          <w:lang w:val="en-GB"/>
        </w:rPr>
        <w:tab/>
        <w:t>Public Transport Infrastructure System</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RG</w:t>
      </w:r>
      <w:r w:rsidRPr="00826C8C">
        <w:rPr>
          <w:rFonts w:ascii="Arial" w:hAnsi="Arial" w:cs="Arial"/>
          <w:lang w:val="en-GB"/>
        </w:rPr>
        <w:tab/>
        <w:t>Restructuring Grant</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RSC</w:t>
      </w:r>
      <w:r w:rsidRPr="00826C8C">
        <w:rPr>
          <w:rFonts w:ascii="Arial" w:hAnsi="Arial" w:cs="Arial"/>
          <w:lang w:val="en-GB"/>
        </w:rPr>
        <w:tab/>
        <w:t>Regional Services Council</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SALGA</w:t>
      </w:r>
      <w:r w:rsidRPr="00826C8C">
        <w:rPr>
          <w:rFonts w:ascii="Arial" w:hAnsi="Arial" w:cs="Arial"/>
          <w:lang w:val="en-GB"/>
        </w:rPr>
        <w:tab/>
        <w:t>South African Local Government Association</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SAPS</w:t>
      </w:r>
      <w:r w:rsidRPr="00826C8C">
        <w:rPr>
          <w:rFonts w:ascii="Arial" w:hAnsi="Arial" w:cs="Arial"/>
          <w:lang w:val="en-GB"/>
        </w:rPr>
        <w:tab/>
        <w:t>South African Police Service</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SDBIP</w:t>
      </w:r>
      <w:r w:rsidRPr="00826C8C">
        <w:rPr>
          <w:rFonts w:ascii="Arial" w:hAnsi="Arial" w:cs="Arial"/>
          <w:lang w:val="en-GB"/>
        </w:rPr>
        <w:tab/>
        <w:t>Service Delivery Budget Implementation Plan</w:t>
      </w:r>
    </w:p>
    <w:p w:rsidR="00826C8C" w:rsidRPr="00826C8C" w:rsidRDefault="00826C8C" w:rsidP="00826C8C">
      <w:pPr>
        <w:autoSpaceDE w:val="0"/>
        <w:autoSpaceDN w:val="0"/>
        <w:adjustRightInd w:val="0"/>
        <w:spacing w:after="0" w:line="240" w:lineRule="auto"/>
        <w:ind w:left="900" w:hanging="900"/>
        <w:rPr>
          <w:rFonts w:ascii="Arial" w:hAnsi="Arial" w:cs="Arial"/>
          <w:lang w:val="en-GB"/>
        </w:rPr>
      </w:pPr>
      <w:r w:rsidRPr="00826C8C">
        <w:rPr>
          <w:rFonts w:ascii="Arial" w:hAnsi="Arial" w:cs="Arial"/>
          <w:lang w:val="en-GB"/>
        </w:rPr>
        <w:t>SMME</w:t>
      </w:r>
      <w:r w:rsidRPr="00826C8C">
        <w:rPr>
          <w:rFonts w:ascii="Arial" w:hAnsi="Arial" w:cs="Arial"/>
          <w:lang w:val="en-GB"/>
        </w:rPr>
        <w:tab/>
        <w:t>Small Micro and Medium Enterprises</w:t>
      </w:r>
    </w:p>
    <w:p w:rsidR="00A651BC" w:rsidRDefault="00A651BC" w:rsidP="00826C8C">
      <w:pPr>
        <w:spacing w:after="0" w:line="240" w:lineRule="auto"/>
        <w:rPr>
          <w:rFonts w:ascii="Arial" w:hAnsi="Arial" w:cs="Arial"/>
        </w:rPr>
        <w:sectPr w:rsidR="00A651BC" w:rsidSect="00A651BC">
          <w:type w:val="continuous"/>
          <w:pgSz w:w="12240" w:h="15840"/>
          <w:pgMar w:top="1440" w:right="1440" w:bottom="1440" w:left="1440" w:header="708" w:footer="708" w:gutter="0"/>
          <w:pgNumType w:fmt="lowerRoman" w:start="1"/>
          <w:cols w:num="2" w:space="332"/>
          <w:titlePg/>
          <w:docGrid w:linePitch="360"/>
        </w:sectPr>
      </w:pPr>
    </w:p>
    <w:p w:rsidR="00826C8C" w:rsidRPr="00826C8C" w:rsidRDefault="00826C8C" w:rsidP="00826C8C">
      <w:pPr>
        <w:spacing w:after="0" w:line="240" w:lineRule="auto"/>
        <w:rPr>
          <w:rFonts w:ascii="Arial" w:hAnsi="Arial" w:cs="Arial"/>
        </w:rPr>
      </w:pPr>
    </w:p>
    <w:p w:rsidR="00281E23" w:rsidRDefault="00281E23">
      <w:pPr>
        <w:rPr>
          <w:rFonts w:ascii="Arial Black" w:hAnsi="Arial Black"/>
          <w:sz w:val="32"/>
          <w:szCs w:val="32"/>
        </w:rPr>
        <w:sectPr w:rsidR="00281E23" w:rsidSect="00A651BC">
          <w:type w:val="continuous"/>
          <w:pgSz w:w="12240" w:h="15840"/>
          <w:pgMar w:top="1440" w:right="1440" w:bottom="1440" w:left="1440" w:header="708" w:footer="708" w:gutter="0"/>
          <w:pgNumType w:fmt="lowerRoman" w:start="1"/>
          <w:cols w:space="708"/>
          <w:titlePg/>
          <w:docGrid w:linePitch="360"/>
        </w:sectPr>
      </w:pPr>
      <w:bookmarkStart w:id="5" w:name="_Toc286034089"/>
    </w:p>
    <w:p w:rsidR="00A94F8D" w:rsidRPr="007842EC" w:rsidRDefault="00A94F8D" w:rsidP="003E133E">
      <w:pPr>
        <w:pStyle w:val="Heading1"/>
        <w:numPr>
          <w:ilvl w:val="0"/>
          <w:numId w:val="0"/>
        </w:numPr>
        <w:spacing w:before="0" w:line="240" w:lineRule="auto"/>
        <w:ind w:left="432"/>
        <w:jc w:val="center"/>
        <w:rPr>
          <w:rFonts w:ascii="Arial Black" w:hAnsi="Arial Black"/>
          <w:color w:val="auto"/>
          <w:sz w:val="32"/>
          <w:szCs w:val="32"/>
        </w:rPr>
      </w:pPr>
      <w:bookmarkStart w:id="6" w:name="_Toc286034680"/>
      <w:bookmarkStart w:id="7" w:name="_Toc286041431"/>
      <w:bookmarkStart w:id="8" w:name="_Toc286041500"/>
      <w:bookmarkStart w:id="9" w:name="_Toc286117310"/>
      <w:bookmarkStart w:id="10" w:name="_Toc287342521"/>
      <w:r w:rsidRPr="007842EC">
        <w:rPr>
          <w:rFonts w:ascii="Arial Black" w:hAnsi="Arial Black"/>
          <w:color w:val="auto"/>
          <w:sz w:val="32"/>
          <w:szCs w:val="32"/>
        </w:rPr>
        <w:t>P</w:t>
      </w:r>
      <w:r w:rsidR="0019235A">
        <w:rPr>
          <w:rFonts w:ascii="Arial Black" w:hAnsi="Arial Black"/>
          <w:color w:val="auto"/>
          <w:sz w:val="32"/>
          <w:szCs w:val="32"/>
        </w:rPr>
        <w:t xml:space="preserve">art </w:t>
      </w:r>
      <w:r w:rsidRPr="007842EC">
        <w:rPr>
          <w:rFonts w:ascii="Arial Black" w:hAnsi="Arial Black"/>
          <w:color w:val="auto"/>
          <w:sz w:val="32"/>
          <w:szCs w:val="32"/>
        </w:rPr>
        <w:t>1 – A</w:t>
      </w:r>
      <w:r w:rsidR="0019235A">
        <w:rPr>
          <w:rFonts w:ascii="Arial Black" w:hAnsi="Arial Black"/>
          <w:color w:val="auto"/>
          <w:sz w:val="32"/>
          <w:szCs w:val="32"/>
        </w:rPr>
        <w:t>nnual Budget</w:t>
      </w:r>
      <w:bookmarkEnd w:id="5"/>
      <w:bookmarkEnd w:id="6"/>
      <w:bookmarkEnd w:id="7"/>
      <w:bookmarkEnd w:id="8"/>
      <w:bookmarkEnd w:id="9"/>
      <w:bookmarkEnd w:id="10"/>
    </w:p>
    <w:p w:rsidR="000915D6" w:rsidRPr="000915D6" w:rsidRDefault="000915D6" w:rsidP="007842EC">
      <w:pPr>
        <w:spacing w:after="0" w:line="240" w:lineRule="auto"/>
      </w:pPr>
    </w:p>
    <w:p w:rsidR="00A94F8D" w:rsidRDefault="00A94F8D" w:rsidP="001A4CB2">
      <w:pPr>
        <w:pStyle w:val="Heading2"/>
        <w:rPr>
          <w:rFonts w:ascii="Arial" w:hAnsi="Arial" w:cs="Arial"/>
          <w:color w:val="auto"/>
        </w:rPr>
      </w:pPr>
      <w:bookmarkStart w:id="11" w:name="_Toc286034090"/>
      <w:bookmarkStart w:id="12" w:name="_Toc286034681"/>
      <w:bookmarkStart w:id="13" w:name="_Toc286041432"/>
      <w:bookmarkStart w:id="14" w:name="_Toc286041501"/>
      <w:bookmarkStart w:id="15" w:name="_Toc286117311"/>
      <w:bookmarkStart w:id="16" w:name="_Toc287342522"/>
      <w:r w:rsidRPr="009B31E6">
        <w:rPr>
          <w:rFonts w:ascii="Arial" w:hAnsi="Arial" w:cs="Arial"/>
          <w:color w:val="auto"/>
        </w:rPr>
        <w:t>Mayor</w:t>
      </w:r>
      <w:r w:rsidR="003E133E">
        <w:rPr>
          <w:rFonts w:ascii="Arial" w:hAnsi="Arial" w:cs="Arial"/>
          <w:color w:val="auto"/>
        </w:rPr>
        <w:t>’</w:t>
      </w:r>
      <w:r w:rsidRPr="009B31E6">
        <w:rPr>
          <w:rFonts w:ascii="Arial" w:hAnsi="Arial" w:cs="Arial"/>
          <w:color w:val="auto"/>
        </w:rPr>
        <w:t>s Report</w:t>
      </w:r>
      <w:bookmarkEnd w:id="11"/>
      <w:bookmarkEnd w:id="12"/>
      <w:bookmarkEnd w:id="13"/>
      <w:bookmarkEnd w:id="14"/>
      <w:bookmarkEnd w:id="15"/>
      <w:bookmarkEnd w:id="16"/>
    </w:p>
    <w:p w:rsidR="006712BA" w:rsidRDefault="006712BA" w:rsidP="006712BA"/>
    <w:p w:rsidR="001143B3" w:rsidRDefault="001143B3" w:rsidP="001143B3">
      <w:pPr>
        <w:spacing w:after="0" w:line="240" w:lineRule="auto"/>
        <w:jc w:val="both"/>
        <w:rPr>
          <w:rFonts w:ascii="Arial" w:hAnsi="Arial" w:cs="Arial"/>
        </w:rPr>
      </w:pPr>
      <w:r>
        <w:rPr>
          <w:rFonts w:ascii="Arial" w:hAnsi="Arial" w:cs="Arial"/>
        </w:rPr>
        <w:t>The Minister of Finance had stated in hi</w:t>
      </w:r>
      <w:r w:rsidR="00076BC0">
        <w:rPr>
          <w:rFonts w:ascii="Arial" w:hAnsi="Arial" w:cs="Arial"/>
        </w:rPr>
        <w:t>s budget speech in February 2019</w:t>
      </w:r>
      <w:r>
        <w:rPr>
          <w:rFonts w:ascii="Arial" w:hAnsi="Arial" w:cs="Arial"/>
        </w:rPr>
        <w:t xml:space="preserve"> that although the world economy remained troubled, there were signs of improvement in the economy and in line with this improvement, that South Africa’s economy had continued to grow, albeit at a slower pace than what was expected in the previous year. It was also stated that although South Africa’s economic outlook was improving, we “require to actively pursue a different trajectory if we are to address the challenges ahead.”  This would mean that all sectors of society would have to work together to achieve this.</w:t>
      </w:r>
    </w:p>
    <w:p w:rsidR="001143B3" w:rsidRPr="00732554" w:rsidRDefault="001143B3" w:rsidP="001143B3">
      <w:pPr>
        <w:spacing w:after="0" w:line="240" w:lineRule="auto"/>
        <w:jc w:val="both"/>
        <w:rPr>
          <w:rFonts w:ascii="Arial" w:hAnsi="Arial" w:cs="Arial"/>
        </w:rPr>
      </w:pPr>
    </w:p>
    <w:p w:rsidR="001143B3" w:rsidRPr="00732554" w:rsidRDefault="001143B3" w:rsidP="001143B3">
      <w:pPr>
        <w:spacing w:after="0" w:line="240" w:lineRule="auto"/>
        <w:jc w:val="both"/>
        <w:rPr>
          <w:rFonts w:ascii="Arial" w:hAnsi="Arial" w:cs="Arial"/>
        </w:rPr>
      </w:pPr>
      <w:r w:rsidRPr="00732554">
        <w:rPr>
          <w:rFonts w:ascii="Arial" w:hAnsi="Arial" w:cs="Arial"/>
        </w:rPr>
        <w:t>Management</w:t>
      </w:r>
      <w:r>
        <w:rPr>
          <w:rFonts w:ascii="Arial" w:hAnsi="Arial" w:cs="Arial"/>
        </w:rPr>
        <w:t xml:space="preserve"> within local government </w:t>
      </w:r>
      <w:r w:rsidRPr="00732554">
        <w:rPr>
          <w:rFonts w:ascii="Arial" w:hAnsi="Arial" w:cs="Arial"/>
        </w:rPr>
        <w:t xml:space="preserve">has a significant role to play in strengthening the link between </w:t>
      </w:r>
      <w:r>
        <w:rPr>
          <w:rFonts w:ascii="Arial" w:hAnsi="Arial" w:cs="Arial"/>
        </w:rPr>
        <w:t>the citizen and g</w:t>
      </w:r>
      <w:r w:rsidRPr="00732554">
        <w:rPr>
          <w:rFonts w:ascii="Arial" w:hAnsi="Arial" w:cs="Arial"/>
        </w:rPr>
        <w:t xml:space="preserve">overnment’s </w:t>
      </w:r>
      <w:r>
        <w:rPr>
          <w:rFonts w:ascii="Arial" w:hAnsi="Arial" w:cs="Arial"/>
        </w:rPr>
        <w:t xml:space="preserve">overall </w:t>
      </w:r>
      <w:r w:rsidRPr="00732554">
        <w:rPr>
          <w:rFonts w:ascii="Arial" w:hAnsi="Arial" w:cs="Arial"/>
        </w:rPr>
        <w:t>priorities and spending plans</w:t>
      </w:r>
      <w:r>
        <w:rPr>
          <w:rFonts w:ascii="Arial" w:hAnsi="Arial" w:cs="Arial"/>
        </w:rPr>
        <w:t xml:space="preserve">.  The </w:t>
      </w:r>
      <w:r w:rsidRPr="00732554">
        <w:rPr>
          <w:rFonts w:ascii="Arial" w:hAnsi="Arial" w:cs="Arial"/>
        </w:rPr>
        <w:t xml:space="preserve">goal should be to enhance service delivery aimed at improving the quality of life for all people within the </w:t>
      </w:r>
      <w:proofErr w:type="spellStart"/>
      <w:r>
        <w:rPr>
          <w:rFonts w:ascii="Arial" w:hAnsi="Arial" w:cs="Arial"/>
        </w:rPr>
        <w:t>iNkosi</w:t>
      </w:r>
      <w:proofErr w:type="spellEnd"/>
      <w:r>
        <w:rPr>
          <w:rFonts w:ascii="Arial" w:hAnsi="Arial" w:cs="Arial"/>
        </w:rPr>
        <w:t xml:space="preserve"> Langalibalele Municipality</w:t>
      </w:r>
      <w:r w:rsidRPr="00732554">
        <w:rPr>
          <w:rFonts w:ascii="Arial" w:hAnsi="Arial" w:cs="Arial"/>
        </w:rPr>
        <w:t xml:space="preserve">. </w:t>
      </w:r>
      <w:r>
        <w:rPr>
          <w:rFonts w:ascii="Arial" w:hAnsi="Arial" w:cs="Arial"/>
        </w:rPr>
        <w:t xml:space="preserve"> </w:t>
      </w:r>
      <w:r w:rsidRPr="00732554">
        <w:rPr>
          <w:rFonts w:ascii="Arial" w:hAnsi="Arial" w:cs="Arial"/>
        </w:rPr>
        <w:t xml:space="preserve">Budgeting is primarily about the choices that the municipality has to make between competing priorities and fiscal realities. </w:t>
      </w:r>
      <w:r>
        <w:rPr>
          <w:rFonts w:ascii="Arial" w:hAnsi="Arial" w:cs="Arial"/>
        </w:rPr>
        <w:t xml:space="preserve"> </w:t>
      </w:r>
      <w:r w:rsidRPr="00732554">
        <w:rPr>
          <w:rFonts w:ascii="Arial" w:hAnsi="Arial" w:cs="Arial"/>
        </w:rPr>
        <w:t xml:space="preserve">The challenge is to do more with the </w:t>
      </w:r>
      <w:r>
        <w:rPr>
          <w:rFonts w:ascii="Arial" w:hAnsi="Arial" w:cs="Arial"/>
        </w:rPr>
        <w:t>available resources</w:t>
      </w:r>
      <w:r w:rsidRPr="00732554">
        <w:rPr>
          <w:rFonts w:ascii="Arial" w:hAnsi="Arial" w:cs="Arial"/>
        </w:rPr>
        <w:t>.</w:t>
      </w:r>
      <w:r>
        <w:rPr>
          <w:rFonts w:ascii="Arial" w:hAnsi="Arial" w:cs="Arial"/>
        </w:rPr>
        <w:t xml:space="preserve"> </w:t>
      </w:r>
      <w:r w:rsidRPr="00732554">
        <w:rPr>
          <w:rFonts w:ascii="Arial" w:hAnsi="Arial" w:cs="Arial"/>
        </w:rPr>
        <w:t xml:space="preserve"> We need to remain focused on the effective deli</w:t>
      </w:r>
      <w:r>
        <w:rPr>
          <w:rFonts w:ascii="Arial" w:hAnsi="Arial" w:cs="Arial"/>
        </w:rPr>
        <w:t>very of the core municipal services through the application of efficient and effective service delivery mechanisms.</w:t>
      </w:r>
    </w:p>
    <w:p w:rsidR="001143B3" w:rsidRPr="00732554" w:rsidRDefault="001143B3" w:rsidP="001143B3">
      <w:pPr>
        <w:spacing w:after="0" w:line="240" w:lineRule="auto"/>
        <w:jc w:val="both"/>
        <w:rPr>
          <w:rFonts w:ascii="Arial" w:hAnsi="Arial" w:cs="Arial"/>
        </w:rPr>
      </w:pPr>
      <w:r w:rsidRPr="00732554">
        <w:rPr>
          <w:rFonts w:ascii="Arial" w:hAnsi="Arial" w:cs="Arial"/>
        </w:rPr>
        <w:t xml:space="preserve"> </w:t>
      </w:r>
    </w:p>
    <w:p w:rsidR="001143B3" w:rsidRDefault="001143B3" w:rsidP="001143B3">
      <w:pPr>
        <w:spacing w:after="0" w:line="240" w:lineRule="auto"/>
        <w:jc w:val="both"/>
        <w:rPr>
          <w:rFonts w:ascii="Arial" w:hAnsi="Arial" w:cs="Arial"/>
        </w:rPr>
      </w:pPr>
      <w:r w:rsidRPr="00732554">
        <w:rPr>
          <w:rFonts w:ascii="Arial" w:hAnsi="Arial" w:cs="Arial"/>
        </w:rPr>
        <w:t xml:space="preserve">The application of sound financial management principles for the compilation of the </w:t>
      </w:r>
      <w:r>
        <w:rPr>
          <w:rFonts w:ascii="Arial" w:hAnsi="Arial" w:cs="Arial"/>
        </w:rPr>
        <w:t>Municipality’s</w:t>
      </w:r>
      <w:r w:rsidRPr="00732554">
        <w:rPr>
          <w:rFonts w:ascii="Arial" w:hAnsi="Arial" w:cs="Arial"/>
        </w:rPr>
        <w:t xml:space="preserve"> financial plan is essential and critical to ensure that the </w:t>
      </w:r>
      <w:r>
        <w:rPr>
          <w:rFonts w:ascii="Arial" w:hAnsi="Arial" w:cs="Arial"/>
        </w:rPr>
        <w:t>Municipality r</w:t>
      </w:r>
      <w:r w:rsidRPr="00732554">
        <w:rPr>
          <w:rFonts w:ascii="Arial" w:hAnsi="Arial" w:cs="Arial"/>
        </w:rPr>
        <w:t xml:space="preserve">emains financially viable and that </w:t>
      </w:r>
      <w:r>
        <w:rPr>
          <w:rFonts w:ascii="Arial" w:hAnsi="Arial" w:cs="Arial"/>
        </w:rPr>
        <w:t xml:space="preserve">sustainable </w:t>
      </w:r>
      <w:r w:rsidRPr="00732554">
        <w:rPr>
          <w:rFonts w:ascii="Arial" w:hAnsi="Arial" w:cs="Arial"/>
        </w:rPr>
        <w:t>municipal services are provided economically</w:t>
      </w:r>
      <w:r>
        <w:rPr>
          <w:rFonts w:ascii="Arial" w:hAnsi="Arial" w:cs="Arial"/>
        </w:rPr>
        <w:t xml:space="preserve"> and equitably</w:t>
      </w:r>
      <w:r w:rsidRPr="00732554">
        <w:rPr>
          <w:rFonts w:ascii="Arial" w:hAnsi="Arial" w:cs="Arial"/>
        </w:rPr>
        <w:t xml:space="preserve"> to all communities.</w:t>
      </w:r>
    </w:p>
    <w:p w:rsidR="001143B3" w:rsidRDefault="001143B3" w:rsidP="001143B3">
      <w:pPr>
        <w:spacing w:after="0" w:line="240" w:lineRule="auto"/>
        <w:jc w:val="both"/>
        <w:rPr>
          <w:rFonts w:ascii="Arial" w:hAnsi="Arial" w:cs="Arial"/>
        </w:rPr>
      </w:pPr>
    </w:p>
    <w:p w:rsidR="001143B3" w:rsidRPr="00793A00" w:rsidRDefault="00076BC0" w:rsidP="001143B3">
      <w:pPr>
        <w:jc w:val="both"/>
        <w:rPr>
          <w:rFonts w:ascii="Arial" w:hAnsi="Arial"/>
        </w:rPr>
      </w:pPr>
      <w:r>
        <w:rPr>
          <w:rFonts w:ascii="Arial" w:hAnsi="Arial"/>
        </w:rPr>
        <w:t>The 2019/20</w:t>
      </w:r>
      <w:r w:rsidR="001143B3">
        <w:rPr>
          <w:rFonts w:ascii="Arial" w:hAnsi="Arial"/>
        </w:rPr>
        <w:t xml:space="preserve"> Medium Term Revenue and Expenditure Framework</w:t>
      </w:r>
      <w:r w:rsidR="001143B3" w:rsidRPr="00793A00">
        <w:rPr>
          <w:rFonts w:ascii="Arial" w:hAnsi="Arial"/>
        </w:rPr>
        <w:t xml:space="preserve"> and its related policies has been compiled in compliance with the Municipal Finance Management Act No. 56 of 2003 and the Municipal Budget an</w:t>
      </w:r>
      <w:r w:rsidR="001143B3">
        <w:rPr>
          <w:rFonts w:ascii="Arial" w:hAnsi="Arial"/>
        </w:rPr>
        <w:t>d Reporting Regulations which are</w:t>
      </w:r>
      <w:r w:rsidR="001143B3" w:rsidRPr="00793A00">
        <w:rPr>
          <w:rFonts w:ascii="Arial" w:hAnsi="Arial"/>
        </w:rPr>
        <w:t xml:space="preserve"> aimed at improving credibility, sustainability, transparency, accuracy and reliability of municipal budgets.</w:t>
      </w:r>
    </w:p>
    <w:p w:rsidR="001143B3" w:rsidRPr="00793A00" w:rsidRDefault="001143B3" w:rsidP="001143B3">
      <w:pPr>
        <w:jc w:val="both"/>
        <w:rPr>
          <w:rFonts w:ascii="Arial" w:hAnsi="Arial"/>
        </w:rPr>
      </w:pPr>
      <w:r w:rsidRPr="00793A00">
        <w:rPr>
          <w:rFonts w:ascii="Arial" w:hAnsi="Arial"/>
        </w:rPr>
        <w:t>The objective of the budget formats reform is to:</w:t>
      </w:r>
    </w:p>
    <w:p w:rsidR="001143B3" w:rsidRPr="00793A00" w:rsidRDefault="001143B3" w:rsidP="001143B3">
      <w:pPr>
        <w:numPr>
          <w:ilvl w:val="0"/>
          <w:numId w:val="36"/>
        </w:numPr>
        <w:spacing w:after="0" w:line="240" w:lineRule="auto"/>
        <w:jc w:val="both"/>
        <w:rPr>
          <w:rFonts w:ascii="Arial" w:hAnsi="Arial"/>
        </w:rPr>
      </w:pPr>
      <w:r w:rsidRPr="00793A00">
        <w:rPr>
          <w:rFonts w:ascii="Arial" w:hAnsi="Arial"/>
        </w:rPr>
        <w:t>Ensure that the municipal budget and financial reporting formats support the other financial management reforms introduced by the MFMA;</w:t>
      </w:r>
    </w:p>
    <w:p w:rsidR="001143B3" w:rsidRPr="00793A00" w:rsidRDefault="001143B3" w:rsidP="001143B3">
      <w:pPr>
        <w:numPr>
          <w:ilvl w:val="0"/>
          <w:numId w:val="36"/>
        </w:numPr>
        <w:spacing w:after="0" w:line="240" w:lineRule="auto"/>
        <w:jc w:val="both"/>
        <w:rPr>
          <w:rFonts w:ascii="Arial" w:hAnsi="Arial"/>
        </w:rPr>
      </w:pPr>
      <w:r w:rsidRPr="00793A00">
        <w:rPr>
          <w:rFonts w:ascii="Arial" w:hAnsi="Arial"/>
        </w:rPr>
        <w:t>Improve the local governments spheres’ ability to deliver basic services to all by-</w:t>
      </w:r>
    </w:p>
    <w:p w:rsidR="001143B3" w:rsidRPr="00793A00" w:rsidRDefault="001143B3" w:rsidP="001143B3">
      <w:pPr>
        <w:numPr>
          <w:ilvl w:val="1"/>
          <w:numId w:val="36"/>
        </w:numPr>
        <w:spacing w:after="0" w:line="240" w:lineRule="auto"/>
        <w:jc w:val="both"/>
        <w:rPr>
          <w:rFonts w:ascii="Arial" w:hAnsi="Arial"/>
        </w:rPr>
      </w:pPr>
      <w:r w:rsidRPr="00793A00">
        <w:rPr>
          <w:rFonts w:ascii="Arial" w:hAnsi="Arial"/>
        </w:rPr>
        <w:t>addressing issues of financial sustainability, and</w:t>
      </w:r>
    </w:p>
    <w:p w:rsidR="001143B3" w:rsidRPr="00793A00" w:rsidRDefault="001143B3" w:rsidP="001143B3">
      <w:pPr>
        <w:numPr>
          <w:ilvl w:val="1"/>
          <w:numId w:val="36"/>
        </w:numPr>
        <w:spacing w:after="0" w:line="240" w:lineRule="auto"/>
        <w:jc w:val="both"/>
        <w:rPr>
          <w:rFonts w:ascii="Arial" w:hAnsi="Arial"/>
        </w:rPr>
      </w:pPr>
      <w:r w:rsidRPr="00793A00">
        <w:rPr>
          <w:rFonts w:ascii="Arial" w:hAnsi="Arial"/>
        </w:rPr>
        <w:t>Facilitating informed policy choices and medium term planning of service delivery by requiring targets to be aligned to achieve backlog elimination.</w:t>
      </w:r>
    </w:p>
    <w:p w:rsidR="001143B3" w:rsidRPr="00793A00" w:rsidRDefault="001143B3" w:rsidP="001143B3">
      <w:pPr>
        <w:jc w:val="both"/>
        <w:rPr>
          <w:rFonts w:ascii="Arial" w:hAnsi="Arial"/>
        </w:rPr>
      </w:pPr>
    </w:p>
    <w:p w:rsidR="001143B3" w:rsidRDefault="001143B3" w:rsidP="001143B3">
      <w:pPr>
        <w:jc w:val="both"/>
        <w:rPr>
          <w:rFonts w:ascii="Arial" w:hAnsi="Arial"/>
        </w:rPr>
      </w:pPr>
      <w:r w:rsidRPr="00793A00">
        <w:rPr>
          <w:rFonts w:ascii="Arial" w:hAnsi="Arial"/>
        </w:rPr>
        <w:t xml:space="preserve">The </w:t>
      </w:r>
      <w:r w:rsidR="00076BC0">
        <w:rPr>
          <w:rFonts w:ascii="Arial" w:hAnsi="Arial"/>
        </w:rPr>
        <w:t>Draft</w:t>
      </w:r>
      <w:r>
        <w:rPr>
          <w:rFonts w:ascii="Arial" w:hAnsi="Arial"/>
        </w:rPr>
        <w:t xml:space="preserve"> </w:t>
      </w:r>
      <w:r w:rsidR="00076BC0">
        <w:rPr>
          <w:rFonts w:ascii="Arial" w:hAnsi="Arial"/>
        </w:rPr>
        <w:t>2019/20</w:t>
      </w:r>
      <w:r w:rsidRPr="00793A00">
        <w:rPr>
          <w:rFonts w:ascii="Arial" w:hAnsi="Arial"/>
        </w:rPr>
        <w:t xml:space="preserve"> </w:t>
      </w:r>
      <w:r>
        <w:rPr>
          <w:rFonts w:ascii="Arial" w:hAnsi="Arial"/>
        </w:rPr>
        <w:t>MTREF</w:t>
      </w:r>
      <w:r w:rsidRPr="00793A00">
        <w:rPr>
          <w:rFonts w:ascii="Arial" w:hAnsi="Arial"/>
        </w:rPr>
        <w:t xml:space="preserve"> has been prepared using realistically anticipated estimates and are guided by the guidelines as per the National Treasury budget circulars.  The main aim of the budget is SERVICE DELIVERY.  It is also aimed at ensuring that services are effectively and efficiently rendered in the most economical way</w:t>
      </w:r>
      <w:r>
        <w:rPr>
          <w:rFonts w:ascii="Arial" w:hAnsi="Arial"/>
        </w:rPr>
        <w:t xml:space="preserve">. </w:t>
      </w:r>
    </w:p>
    <w:p w:rsidR="001143B3" w:rsidRDefault="001143B3" w:rsidP="001143B3">
      <w:pPr>
        <w:jc w:val="both"/>
        <w:rPr>
          <w:rFonts w:ascii="Arial" w:hAnsi="Arial"/>
        </w:rPr>
      </w:pPr>
    </w:p>
    <w:p w:rsidR="001143B3" w:rsidRPr="00793A00" w:rsidRDefault="001143B3" w:rsidP="001143B3">
      <w:pPr>
        <w:jc w:val="both"/>
        <w:rPr>
          <w:rFonts w:ascii="Arial" w:hAnsi="Arial"/>
        </w:rPr>
      </w:pPr>
    </w:p>
    <w:p w:rsidR="001143B3" w:rsidRPr="00793A00" w:rsidRDefault="001143B3" w:rsidP="001143B3">
      <w:pPr>
        <w:jc w:val="both"/>
        <w:rPr>
          <w:rFonts w:ascii="Arial" w:hAnsi="Arial"/>
        </w:rPr>
      </w:pPr>
      <w:r w:rsidRPr="00793A00">
        <w:rPr>
          <w:rFonts w:ascii="Arial" w:hAnsi="Arial"/>
        </w:rPr>
        <w:t xml:space="preserve">A brief overview of the </w:t>
      </w:r>
      <w:r>
        <w:rPr>
          <w:rFonts w:ascii="Arial" w:hAnsi="Arial"/>
        </w:rPr>
        <w:t>final</w:t>
      </w:r>
      <w:r w:rsidRPr="00793A00">
        <w:rPr>
          <w:rFonts w:ascii="Arial" w:hAnsi="Arial"/>
        </w:rPr>
        <w:t xml:space="preserve"> budget is as follows:</w:t>
      </w:r>
    </w:p>
    <w:p w:rsidR="001143B3" w:rsidRPr="00793A00" w:rsidRDefault="001143B3" w:rsidP="001143B3">
      <w:pPr>
        <w:ind w:firstLine="720"/>
        <w:jc w:val="both"/>
        <w:rPr>
          <w:rFonts w:ascii="Arial" w:hAnsi="Arial"/>
        </w:rPr>
      </w:pPr>
      <w:r w:rsidRPr="00793A00">
        <w:rPr>
          <w:rFonts w:ascii="Arial" w:hAnsi="Arial"/>
        </w:rPr>
        <w:t xml:space="preserve">Total operating income </w:t>
      </w:r>
      <w:r w:rsidR="00076BC0">
        <w:rPr>
          <w:rFonts w:ascii="Arial" w:hAnsi="Arial"/>
        </w:rPr>
        <w:t>– R566 724</w:t>
      </w:r>
      <w:r>
        <w:rPr>
          <w:rFonts w:ascii="Arial" w:hAnsi="Arial"/>
        </w:rPr>
        <w:t xml:space="preserve"> 000</w:t>
      </w:r>
    </w:p>
    <w:p w:rsidR="001143B3" w:rsidRPr="00793A00" w:rsidRDefault="001143B3" w:rsidP="001143B3">
      <w:pPr>
        <w:ind w:firstLine="720"/>
        <w:jc w:val="both"/>
        <w:rPr>
          <w:rFonts w:ascii="Arial" w:hAnsi="Arial"/>
        </w:rPr>
      </w:pPr>
      <w:r w:rsidRPr="00793A00">
        <w:rPr>
          <w:rFonts w:ascii="Arial" w:hAnsi="Arial"/>
        </w:rPr>
        <w:t>Total Operating expenditure – R</w:t>
      </w:r>
      <w:r w:rsidR="00076BC0">
        <w:rPr>
          <w:rFonts w:ascii="Arial" w:hAnsi="Arial"/>
        </w:rPr>
        <w:t>552 989</w:t>
      </w:r>
      <w:r>
        <w:rPr>
          <w:rFonts w:ascii="Arial" w:hAnsi="Arial"/>
        </w:rPr>
        <w:t xml:space="preserve"> 000</w:t>
      </w:r>
    </w:p>
    <w:p w:rsidR="001143B3" w:rsidRPr="00793A00" w:rsidRDefault="001143B3" w:rsidP="001143B3">
      <w:pPr>
        <w:ind w:firstLine="720"/>
        <w:jc w:val="both"/>
        <w:rPr>
          <w:rFonts w:ascii="Arial" w:hAnsi="Arial"/>
        </w:rPr>
      </w:pPr>
      <w:r>
        <w:rPr>
          <w:rFonts w:ascii="Arial" w:hAnsi="Arial"/>
        </w:rPr>
        <w:t>Operating Surplus</w:t>
      </w:r>
      <w:r w:rsidRPr="00793A00">
        <w:rPr>
          <w:rFonts w:ascii="Arial" w:hAnsi="Arial"/>
        </w:rPr>
        <w:t xml:space="preserve"> – R</w:t>
      </w:r>
      <w:r w:rsidR="00076BC0">
        <w:rPr>
          <w:rFonts w:ascii="Arial" w:hAnsi="Arial"/>
        </w:rPr>
        <w:t>13 735</w:t>
      </w:r>
      <w:r>
        <w:rPr>
          <w:rFonts w:ascii="Arial" w:hAnsi="Arial"/>
        </w:rPr>
        <w:t xml:space="preserve"> 000</w:t>
      </w:r>
    </w:p>
    <w:p w:rsidR="001143B3" w:rsidRPr="00793A00" w:rsidRDefault="00076BC0" w:rsidP="001143B3">
      <w:pPr>
        <w:ind w:firstLine="720"/>
        <w:jc w:val="both"/>
        <w:rPr>
          <w:rFonts w:ascii="Arial" w:hAnsi="Arial"/>
        </w:rPr>
      </w:pPr>
      <w:r>
        <w:rPr>
          <w:rFonts w:ascii="Arial" w:hAnsi="Arial"/>
        </w:rPr>
        <w:t>Capital Transfers –R44 661 000</w:t>
      </w:r>
      <w:r w:rsidR="001143B3">
        <w:rPr>
          <w:rFonts w:ascii="Arial" w:hAnsi="Arial"/>
        </w:rPr>
        <w:t xml:space="preserve"> </w:t>
      </w:r>
      <w:r>
        <w:rPr>
          <w:rFonts w:ascii="Arial" w:hAnsi="Arial"/>
          <w:b/>
        </w:rPr>
        <w:t>(MIG R37 661 000 and INEP R7 000 000</w:t>
      </w:r>
      <w:r w:rsidR="001143B3" w:rsidRPr="00A85D56">
        <w:rPr>
          <w:rFonts w:ascii="Arial" w:hAnsi="Arial"/>
          <w:b/>
        </w:rPr>
        <w:t>).</w:t>
      </w:r>
    </w:p>
    <w:p w:rsidR="001143B3" w:rsidRDefault="001143B3" w:rsidP="001143B3">
      <w:pPr>
        <w:jc w:val="both"/>
        <w:rPr>
          <w:rFonts w:ascii="Arial" w:hAnsi="Arial"/>
        </w:rPr>
      </w:pPr>
      <w:r w:rsidRPr="00793A00">
        <w:rPr>
          <w:rFonts w:ascii="Arial" w:hAnsi="Arial"/>
        </w:rPr>
        <w:t xml:space="preserve">The capital budget would be financed from capital grants received from the </w:t>
      </w:r>
      <w:r>
        <w:rPr>
          <w:rFonts w:ascii="Arial" w:hAnsi="Arial"/>
        </w:rPr>
        <w:t>Municipal Infrastructure Grant</w:t>
      </w:r>
      <w:r w:rsidRPr="00793A00">
        <w:rPr>
          <w:rFonts w:ascii="Arial" w:hAnsi="Arial"/>
        </w:rPr>
        <w:t xml:space="preserve">, INEP, </w:t>
      </w:r>
      <w:r>
        <w:rPr>
          <w:rFonts w:ascii="Arial" w:hAnsi="Arial"/>
        </w:rPr>
        <w:t>and a small portion from council funding.</w:t>
      </w:r>
    </w:p>
    <w:p w:rsidR="001143B3" w:rsidRPr="00793A00" w:rsidRDefault="001143B3" w:rsidP="001143B3">
      <w:pPr>
        <w:jc w:val="both"/>
        <w:rPr>
          <w:rFonts w:ascii="Arial" w:hAnsi="Arial"/>
        </w:rPr>
      </w:pPr>
      <w:r w:rsidRPr="00793A00">
        <w:rPr>
          <w:rFonts w:ascii="Arial" w:hAnsi="Arial"/>
        </w:rPr>
        <w:t>The operating budget is extremely constrained and focuses on service delivery.  The reason for this</w:t>
      </w:r>
      <w:r>
        <w:rPr>
          <w:rFonts w:ascii="Arial" w:hAnsi="Arial"/>
        </w:rPr>
        <w:t>,</w:t>
      </w:r>
      <w:r w:rsidRPr="00793A00">
        <w:rPr>
          <w:rFonts w:ascii="Arial" w:hAnsi="Arial"/>
        </w:rPr>
        <w:t xml:space="preserve"> is the limiting income realistically anticipated.</w:t>
      </w:r>
      <w:r>
        <w:rPr>
          <w:rFonts w:ascii="Arial" w:hAnsi="Arial"/>
        </w:rPr>
        <w:t xml:space="preserve">  </w:t>
      </w:r>
    </w:p>
    <w:p w:rsidR="001143B3" w:rsidRPr="00793A00" w:rsidRDefault="001143B3" w:rsidP="001143B3">
      <w:pPr>
        <w:jc w:val="both"/>
        <w:rPr>
          <w:rFonts w:ascii="Arial" w:hAnsi="Arial"/>
        </w:rPr>
      </w:pPr>
      <w:proofErr w:type="spellStart"/>
      <w:r w:rsidRPr="00793A00">
        <w:rPr>
          <w:rFonts w:ascii="Arial" w:hAnsi="Arial"/>
        </w:rPr>
        <w:t>Ngokubambisana</w:t>
      </w:r>
      <w:proofErr w:type="spellEnd"/>
      <w:r w:rsidRPr="00793A00">
        <w:rPr>
          <w:rFonts w:ascii="Arial" w:hAnsi="Arial"/>
        </w:rPr>
        <w:t xml:space="preserve"> </w:t>
      </w:r>
      <w:proofErr w:type="spellStart"/>
      <w:r w:rsidRPr="00793A00">
        <w:rPr>
          <w:rFonts w:ascii="Arial" w:hAnsi="Arial"/>
        </w:rPr>
        <w:t>singakha</w:t>
      </w:r>
      <w:proofErr w:type="spellEnd"/>
      <w:r w:rsidRPr="00793A00">
        <w:rPr>
          <w:rFonts w:ascii="Arial" w:hAnsi="Arial"/>
        </w:rPr>
        <w:t xml:space="preserve"> </w:t>
      </w:r>
      <w:proofErr w:type="spellStart"/>
      <w:r w:rsidRPr="00793A00">
        <w:rPr>
          <w:rFonts w:ascii="Arial" w:hAnsi="Arial"/>
        </w:rPr>
        <w:t>imiphakathi</w:t>
      </w:r>
      <w:proofErr w:type="spellEnd"/>
      <w:r w:rsidRPr="00793A00">
        <w:rPr>
          <w:rFonts w:ascii="Arial" w:hAnsi="Arial"/>
        </w:rPr>
        <w:t xml:space="preserve"> </w:t>
      </w:r>
      <w:proofErr w:type="spellStart"/>
      <w:r w:rsidRPr="00793A00">
        <w:rPr>
          <w:rFonts w:ascii="Arial" w:hAnsi="Arial"/>
        </w:rPr>
        <w:t>engcono</w:t>
      </w:r>
      <w:proofErr w:type="spellEnd"/>
      <w:r w:rsidRPr="00793A00">
        <w:rPr>
          <w:rFonts w:ascii="Arial" w:hAnsi="Arial"/>
        </w:rPr>
        <w:t>.  Let us work together to build a better community</w:t>
      </w:r>
      <w:r>
        <w:rPr>
          <w:rFonts w:ascii="Arial" w:hAnsi="Arial"/>
        </w:rPr>
        <w:t xml:space="preserve"> of </w:t>
      </w:r>
      <w:proofErr w:type="spellStart"/>
      <w:r>
        <w:rPr>
          <w:rFonts w:ascii="Arial" w:hAnsi="Arial"/>
        </w:rPr>
        <w:t>iNkosi</w:t>
      </w:r>
      <w:proofErr w:type="spellEnd"/>
      <w:r>
        <w:rPr>
          <w:rFonts w:ascii="Arial" w:hAnsi="Arial"/>
        </w:rPr>
        <w:t xml:space="preserve"> Langalibalele</w:t>
      </w:r>
      <w:r w:rsidRPr="00793A00">
        <w:rPr>
          <w:rFonts w:ascii="Arial" w:hAnsi="Arial"/>
        </w:rPr>
        <w:t xml:space="preserve"> thus achieving a better life for all.</w:t>
      </w:r>
    </w:p>
    <w:p w:rsidR="001143B3" w:rsidRPr="00793A00" w:rsidRDefault="001143B3" w:rsidP="001143B3">
      <w:pPr>
        <w:jc w:val="both"/>
        <w:rPr>
          <w:rFonts w:ascii="Arial" w:hAnsi="Arial"/>
        </w:rPr>
      </w:pPr>
    </w:p>
    <w:p w:rsidR="001143B3" w:rsidRPr="00AB5EB2" w:rsidRDefault="001143B3" w:rsidP="001143B3">
      <w:pPr>
        <w:jc w:val="both"/>
        <w:rPr>
          <w:rFonts w:ascii="Arial" w:hAnsi="Arial"/>
          <w:b/>
        </w:rPr>
      </w:pPr>
      <w:r>
        <w:rPr>
          <w:rFonts w:ascii="Arial" w:hAnsi="Arial"/>
          <w:b/>
        </w:rPr>
        <w:t>HER</w:t>
      </w:r>
      <w:r w:rsidRPr="00AB5EB2">
        <w:rPr>
          <w:rFonts w:ascii="Arial" w:hAnsi="Arial"/>
          <w:b/>
        </w:rPr>
        <w:t xml:space="preserve"> WORSHIP</w:t>
      </w:r>
      <w:r>
        <w:rPr>
          <w:rFonts w:ascii="Arial" w:hAnsi="Arial"/>
          <w:b/>
        </w:rPr>
        <w:t>,</w:t>
      </w:r>
      <w:r w:rsidRPr="00AB5EB2">
        <w:rPr>
          <w:rFonts w:ascii="Arial" w:hAnsi="Arial"/>
          <w:b/>
        </w:rPr>
        <w:t xml:space="preserve"> THE MAYOR</w:t>
      </w:r>
    </w:p>
    <w:p w:rsidR="001143B3" w:rsidRPr="00AB5EB2" w:rsidRDefault="001143B3" w:rsidP="001143B3">
      <w:pPr>
        <w:jc w:val="both"/>
        <w:rPr>
          <w:rFonts w:ascii="Arial" w:hAnsi="Arial"/>
          <w:b/>
        </w:rPr>
      </w:pPr>
      <w:r>
        <w:rPr>
          <w:rFonts w:ascii="Arial" w:hAnsi="Arial"/>
          <w:b/>
        </w:rPr>
        <w:t>COUNCILLOR JM MBELE</w:t>
      </w:r>
    </w:p>
    <w:p w:rsidR="001143B3" w:rsidRPr="006712BA" w:rsidRDefault="001143B3" w:rsidP="006712BA"/>
    <w:p w:rsidR="00A94F8D" w:rsidRPr="007842EC" w:rsidRDefault="00107024" w:rsidP="00C8149B">
      <w:pPr>
        <w:pStyle w:val="Heading2"/>
        <w:rPr>
          <w:rFonts w:ascii="Arial" w:hAnsi="Arial" w:cs="Arial"/>
          <w:color w:val="auto"/>
        </w:rPr>
      </w:pPr>
      <w:bookmarkStart w:id="17" w:name="_Toc286034091"/>
      <w:bookmarkStart w:id="18" w:name="_Toc286034682"/>
      <w:bookmarkStart w:id="19" w:name="_Toc286041433"/>
      <w:bookmarkStart w:id="20" w:name="_Toc286041502"/>
      <w:bookmarkStart w:id="21" w:name="_Toc286117312"/>
      <w:bookmarkStart w:id="22" w:name="_Toc287342523"/>
      <w:r>
        <w:rPr>
          <w:rFonts w:ascii="Arial" w:hAnsi="Arial" w:cs="Arial"/>
          <w:color w:val="auto"/>
        </w:rPr>
        <w:t xml:space="preserve">Council </w:t>
      </w:r>
      <w:r w:rsidR="00A94F8D" w:rsidRPr="007842EC">
        <w:rPr>
          <w:rFonts w:ascii="Arial" w:hAnsi="Arial" w:cs="Arial"/>
          <w:color w:val="auto"/>
        </w:rPr>
        <w:t>Resolutions</w:t>
      </w:r>
      <w:bookmarkEnd w:id="17"/>
      <w:bookmarkEnd w:id="18"/>
      <w:bookmarkEnd w:id="19"/>
      <w:bookmarkEnd w:id="20"/>
      <w:bookmarkEnd w:id="21"/>
      <w:bookmarkEnd w:id="22"/>
    </w:p>
    <w:p w:rsidR="00656BB1" w:rsidRDefault="00656BB1" w:rsidP="00107024">
      <w:pPr>
        <w:spacing w:after="0" w:line="240" w:lineRule="auto"/>
        <w:jc w:val="both"/>
        <w:rPr>
          <w:rFonts w:ascii="Arial" w:hAnsi="Arial" w:cs="Arial"/>
        </w:rPr>
      </w:pPr>
    </w:p>
    <w:p w:rsidR="00107024" w:rsidRDefault="004454A3" w:rsidP="00107024">
      <w:pPr>
        <w:spacing w:after="0" w:line="240" w:lineRule="auto"/>
        <w:jc w:val="both"/>
        <w:rPr>
          <w:rFonts w:ascii="Arial" w:hAnsi="Arial" w:cs="Arial"/>
        </w:rPr>
      </w:pPr>
      <w:r>
        <w:rPr>
          <w:rFonts w:ascii="Arial" w:hAnsi="Arial" w:cs="Arial"/>
        </w:rPr>
        <w:t>On 22</w:t>
      </w:r>
      <w:r w:rsidR="001143B3">
        <w:rPr>
          <w:rFonts w:ascii="Arial" w:hAnsi="Arial" w:cs="Arial"/>
        </w:rPr>
        <w:t xml:space="preserve"> March 2018</w:t>
      </w:r>
      <w:r w:rsidR="00FB5E13">
        <w:rPr>
          <w:rFonts w:ascii="Arial" w:hAnsi="Arial" w:cs="Arial"/>
        </w:rPr>
        <w:t xml:space="preserve"> the Council of </w:t>
      </w:r>
      <w:proofErr w:type="spellStart"/>
      <w:r w:rsidR="002968BB">
        <w:rPr>
          <w:rFonts w:ascii="Arial" w:hAnsi="Arial" w:cs="Arial"/>
        </w:rPr>
        <w:t>Inkosi</w:t>
      </w:r>
      <w:proofErr w:type="spellEnd"/>
      <w:r w:rsidR="002968BB">
        <w:rPr>
          <w:rFonts w:ascii="Arial" w:hAnsi="Arial" w:cs="Arial"/>
        </w:rPr>
        <w:t xml:space="preserve"> Langalibalele</w:t>
      </w:r>
      <w:r w:rsidR="000F15FA">
        <w:rPr>
          <w:rFonts w:ascii="Arial" w:hAnsi="Arial" w:cs="Arial"/>
        </w:rPr>
        <w:t xml:space="preserve"> Local Municipality</w:t>
      </w:r>
      <w:r w:rsidR="001143B3">
        <w:rPr>
          <w:rFonts w:ascii="Arial" w:hAnsi="Arial" w:cs="Arial"/>
        </w:rPr>
        <w:t xml:space="preserve"> </w:t>
      </w:r>
      <w:r w:rsidR="00107024">
        <w:rPr>
          <w:rFonts w:ascii="Arial" w:hAnsi="Arial" w:cs="Arial"/>
        </w:rPr>
        <w:t>met in the Council Chamb</w:t>
      </w:r>
      <w:r w:rsidR="0064055F">
        <w:rPr>
          <w:rFonts w:ascii="Arial" w:hAnsi="Arial" w:cs="Arial"/>
        </w:rPr>
        <w:t xml:space="preserve">ers of </w:t>
      </w:r>
      <w:proofErr w:type="spellStart"/>
      <w:r w:rsidR="002968BB">
        <w:rPr>
          <w:rFonts w:ascii="Arial" w:hAnsi="Arial" w:cs="Arial"/>
        </w:rPr>
        <w:t>Inkosi</w:t>
      </w:r>
      <w:proofErr w:type="spellEnd"/>
      <w:r w:rsidR="002968BB">
        <w:rPr>
          <w:rFonts w:ascii="Arial" w:hAnsi="Arial" w:cs="Arial"/>
        </w:rPr>
        <w:t xml:space="preserve"> Langalibalele</w:t>
      </w:r>
      <w:r w:rsidR="0064055F">
        <w:rPr>
          <w:rFonts w:ascii="Arial" w:hAnsi="Arial" w:cs="Arial"/>
        </w:rPr>
        <w:t xml:space="preserve"> Municipality</w:t>
      </w:r>
      <w:r w:rsidR="00A74747">
        <w:rPr>
          <w:rFonts w:ascii="Arial" w:hAnsi="Arial" w:cs="Arial"/>
        </w:rPr>
        <w:t xml:space="preserve"> </w:t>
      </w:r>
      <w:r w:rsidR="00107024">
        <w:rPr>
          <w:rFonts w:ascii="Arial" w:hAnsi="Arial" w:cs="Arial"/>
        </w:rPr>
        <w:t xml:space="preserve">to consider </w:t>
      </w:r>
      <w:r w:rsidR="00A74747">
        <w:rPr>
          <w:rFonts w:ascii="Arial" w:hAnsi="Arial" w:cs="Arial"/>
        </w:rPr>
        <w:t>the</w:t>
      </w:r>
      <w:r w:rsidR="0064055F">
        <w:rPr>
          <w:rFonts w:ascii="Arial" w:hAnsi="Arial" w:cs="Arial"/>
        </w:rPr>
        <w:t xml:space="preserve"> draft</w:t>
      </w:r>
      <w:r w:rsidR="00A74747">
        <w:rPr>
          <w:rFonts w:ascii="Arial" w:hAnsi="Arial" w:cs="Arial"/>
        </w:rPr>
        <w:t xml:space="preserve"> </w:t>
      </w:r>
      <w:r w:rsidR="00107024" w:rsidRPr="00745FE4">
        <w:rPr>
          <w:rFonts w:ascii="Arial" w:hAnsi="Arial" w:cs="Arial"/>
        </w:rPr>
        <w:t>annual budget of the municipalit</w:t>
      </w:r>
      <w:r w:rsidR="0064055F">
        <w:rPr>
          <w:rFonts w:ascii="Arial" w:hAnsi="Arial" w:cs="Arial"/>
        </w:rPr>
        <w:t xml:space="preserve">y for the financial year </w:t>
      </w:r>
      <w:r>
        <w:rPr>
          <w:rFonts w:ascii="Arial" w:hAnsi="Arial" w:cs="Arial"/>
        </w:rPr>
        <w:t>2019/20</w:t>
      </w:r>
      <w:r w:rsidR="00A74747">
        <w:rPr>
          <w:rFonts w:ascii="Arial" w:hAnsi="Arial" w:cs="Arial"/>
        </w:rPr>
        <w:t xml:space="preserve">. </w:t>
      </w:r>
      <w:r w:rsidR="001D1A1C">
        <w:rPr>
          <w:rFonts w:ascii="Arial" w:hAnsi="Arial" w:cs="Arial"/>
        </w:rPr>
        <w:t xml:space="preserve"> </w:t>
      </w:r>
      <w:r w:rsidR="00A74747">
        <w:rPr>
          <w:rFonts w:ascii="Arial" w:hAnsi="Arial" w:cs="Arial"/>
        </w:rPr>
        <w:t>The Council approved and adopted the following resolutions:</w:t>
      </w:r>
    </w:p>
    <w:p w:rsidR="00A74747" w:rsidRPr="00107024" w:rsidRDefault="00A74747" w:rsidP="00107024">
      <w:pPr>
        <w:spacing w:after="0" w:line="240" w:lineRule="auto"/>
        <w:jc w:val="both"/>
        <w:rPr>
          <w:rFonts w:ascii="Arial" w:hAnsi="Arial" w:cs="Arial"/>
        </w:rPr>
      </w:pPr>
    </w:p>
    <w:p w:rsidR="00745FE4" w:rsidRDefault="00FB5E13" w:rsidP="00E50C0E">
      <w:pPr>
        <w:pStyle w:val="Arial"/>
        <w:numPr>
          <w:ilvl w:val="0"/>
          <w:numId w:val="12"/>
        </w:numPr>
        <w:rPr>
          <w:rFonts w:ascii="Arial" w:hAnsi="Arial" w:cs="Arial"/>
          <w:sz w:val="22"/>
          <w:szCs w:val="22"/>
        </w:rPr>
      </w:pPr>
      <w:r>
        <w:rPr>
          <w:rFonts w:ascii="Arial" w:hAnsi="Arial" w:cs="Arial"/>
          <w:sz w:val="22"/>
          <w:szCs w:val="22"/>
        </w:rPr>
        <w:t xml:space="preserve">The Council of </w:t>
      </w:r>
      <w:proofErr w:type="spellStart"/>
      <w:r w:rsidR="002968BB">
        <w:rPr>
          <w:rFonts w:ascii="Arial" w:hAnsi="Arial" w:cs="Arial"/>
          <w:sz w:val="22"/>
          <w:szCs w:val="22"/>
        </w:rPr>
        <w:t>Inkosi</w:t>
      </w:r>
      <w:proofErr w:type="spellEnd"/>
      <w:r w:rsidR="002968BB">
        <w:rPr>
          <w:rFonts w:ascii="Arial" w:hAnsi="Arial" w:cs="Arial"/>
          <w:sz w:val="22"/>
          <w:szCs w:val="22"/>
        </w:rPr>
        <w:t xml:space="preserve"> Langalibalele</w:t>
      </w:r>
      <w:r w:rsidR="00745FE4">
        <w:rPr>
          <w:rFonts w:ascii="Arial" w:hAnsi="Arial" w:cs="Arial"/>
          <w:sz w:val="22"/>
          <w:szCs w:val="22"/>
        </w:rPr>
        <w:t xml:space="preserve"> Local Municipality, acting in terms of section </w:t>
      </w:r>
      <w:r w:rsidR="00AE5A57" w:rsidRPr="00653A3E">
        <w:rPr>
          <w:rFonts w:ascii="Arial" w:hAnsi="Arial" w:cs="Arial"/>
          <w:sz w:val="22"/>
          <w:szCs w:val="22"/>
        </w:rPr>
        <w:t>24 of the Municipal Finance Management Act, (Act 56 of 2003)</w:t>
      </w:r>
      <w:r w:rsidR="00745FE4">
        <w:rPr>
          <w:rFonts w:ascii="Arial" w:hAnsi="Arial" w:cs="Arial"/>
          <w:sz w:val="22"/>
          <w:szCs w:val="22"/>
        </w:rPr>
        <w:t xml:space="preserve"> approves and adopts:</w:t>
      </w:r>
    </w:p>
    <w:p w:rsidR="00745FE4" w:rsidRDefault="00745FE4" w:rsidP="00720EE8">
      <w:pPr>
        <w:pStyle w:val="Arial"/>
        <w:ind w:left="360"/>
        <w:rPr>
          <w:rFonts w:ascii="Arial" w:hAnsi="Arial" w:cs="Arial"/>
          <w:sz w:val="22"/>
          <w:szCs w:val="22"/>
        </w:rPr>
      </w:pPr>
    </w:p>
    <w:p w:rsidR="00745FE4" w:rsidRDefault="00745FE4" w:rsidP="00E50C0E">
      <w:pPr>
        <w:pStyle w:val="Arial"/>
        <w:numPr>
          <w:ilvl w:val="1"/>
          <w:numId w:val="12"/>
        </w:numPr>
        <w:rPr>
          <w:rFonts w:ascii="Arial" w:hAnsi="Arial" w:cs="Arial"/>
          <w:sz w:val="22"/>
          <w:szCs w:val="22"/>
        </w:rPr>
      </w:pPr>
      <w:r w:rsidRPr="00745FE4">
        <w:rPr>
          <w:rFonts w:ascii="Arial" w:hAnsi="Arial" w:cs="Arial"/>
          <w:sz w:val="22"/>
          <w:szCs w:val="22"/>
        </w:rPr>
        <w:t xml:space="preserve">The </w:t>
      </w:r>
      <w:r w:rsidR="0064055F">
        <w:rPr>
          <w:rFonts w:ascii="Arial" w:hAnsi="Arial" w:cs="Arial"/>
          <w:sz w:val="22"/>
          <w:szCs w:val="22"/>
        </w:rPr>
        <w:t xml:space="preserve"> draft </w:t>
      </w:r>
      <w:r w:rsidR="00AE5A57" w:rsidRPr="00745FE4">
        <w:rPr>
          <w:rFonts w:ascii="Arial" w:hAnsi="Arial" w:cs="Arial"/>
          <w:sz w:val="22"/>
          <w:szCs w:val="22"/>
        </w:rPr>
        <w:t>annual budget of the municipa</w:t>
      </w:r>
      <w:r w:rsidR="0064055F">
        <w:rPr>
          <w:rFonts w:ascii="Arial" w:hAnsi="Arial" w:cs="Arial"/>
          <w:sz w:val="22"/>
          <w:szCs w:val="22"/>
        </w:rPr>
        <w:t xml:space="preserve">lity for the financial year </w:t>
      </w:r>
      <w:r w:rsidR="001143B3">
        <w:rPr>
          <w:rFonts w:ascii="Arial" w:hAnsi="Arial" w:cs="Arial"/>
          <w:sz w:val="22"/>
          <w:szCs w:val="22"/>
        </w:rPr>
        <w:t>2018/19</w:t>
      </w:r>
      <w:r w:rsidR="00AE5A57" w:rsidRPr="00745FE4">
        <w:rPr>
          <w:rFonts w:ascii="Arial" w:hAnsi="Arial" w:cs="Arial"/>
          <w:sz w:val="22"/>
          <w:szCs w:val="22"/>
        </w:rPr>
        <w:t xml:space="preserve"> and the multi-year and single</w:t>
      </w:r>
      <w:r w:rsidRPr="00745FE4">
        <w:rPr>
          <w:rFonts w:ascii="Arial" w:hAnsi="Arial" w:cs="Arial"/>
          <w:sz w:val="22"/>
          <w:szCs w:val="22"/>
        </w:rPr>
        <w:t>-</w:t>
      </w:r>
      <w:r w:rsidR="00AE5A57" w:rsidRPr="00745FE4">
        <w:rPr>
          <w:rFonts w:ascii="Arial" w:hAnsi="Arial" w:cs="Arial"/>
          <w:sz w:val="22"/>
          <w:szCs w:val="22"/>
        </w:rPr>
        <w:t>year capital appropriations as set out in the following tables:</w:t>
      </w:r>
    </w:p>
    <w:p w:rsidR="00AE5A57"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 xml:space="preserve">Budgeted Financial Performance (revenue and expenditure by standard classification) as contained </w:t>
      </w:r>
      <w:r w:rsidR="0064055F">
        <w:rPr>
          <w:rFonts w:ascii="Arial" w:hAnsi="Arial" w:cs="Arial"/>
          <w:sz w:val="22"/>
          <w:szCs w:val="22"/>
        </w:rPr>
        <w:t>in Table 18;</w:t>
      </w:r>
    </w:p>
    <w:p w:rsid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Financial Performance (revenue and expenditure by municipal vote)</w:t>
      </w:r>
      <w:r w:rsidR="00CA4982">
        <w:rPr>
          <w:rFonts w:ascii="Arial" w:hAnsi="Arial" w:cs="Arial"/>
          <w:sz w:val="22"/>
          <w:szCs w:val="22"/>
        </w:rPr>
        <w:t xml:space="preserve"> as c</w:t>
      </w:r>
      <w:r w:rsidR="0064055F">
        <w:rPr>
          <w:rFonts w:ascii="Arial" w:hAnsi="Arial" w:cs="Arial"/>
          <w:sz w:val="22"/>
          <w:szCs w:val="22"/>
        </w:rPr>
        <w:t>ontained in Table 19;</w:t>
      </w:r>
    </w:p>
    <w:p w:rsid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Financial Performance (revenue by source and expenditure by t</w:t>
      </w:r>
      <w:r w:rsidR="00CA4982">
        <w:rPr>
          <w:rFonts w:ascii="Arial" w:hAnsi="Arial" w:cs="Arial"/>
          <w:sz w:val="22"/>
          <w:szCs w:val="22"/>
        </w:rPr>
        <w:t xml:space="preserve">ype) as </w:t>
      </w:r>
      <w:r w:rsidR="0064055F">
        <w:rPr>
          <w:rFonts w:ascii="Arial" w:hAnsi="Arial" w:cs="Arial"/>
          <w:sz w:val="22"/>
          <w:szCs w:val="22"/>
        </w:rPr>
        <w:t>contained in Table 21</w:t>
      </w:r>
      <w:r w:rsidR="00CA4982">
        <w:rPr>
          <w:rFonts w:ascii="Arial" w:hAnsi="Arial" w:cs="Arial"/>
          <w:sz w:val="22"/>
          <w:szCs w:val="22"/>
        </w:rPr>
        <w:t>; and</w:t>
      </w:r>
    </w:p>
    <w:p w:rsidR="00AE5A57"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Multi-year and single</w:t>
      </w:r>
      <w:r w:rsidR="00745FE4" w:rsidRPr="00745FE4">
        <w:rPr>
          <w:rFonts w:ascii="Arial" w:hAnsi="Arial" w:cs="Arial"/>
          <w:sz w:val="22"/>
          <w:szCs w:val="22"/>
        </w:rPr>
        <w:t>-</w:t>
      </w:r>
      <w:r w:rsidRPr="00745FE4">
        <w:rPr>
          <w:rFonts w:ascii="Arial" w:hAnsi="Arial" w:cs="Arial"/>
          <w:sz w:val="22"/>
          <w:szCs w:val="22"/>
        </w:rPr>
        <w:t>year capital appropriations by municipal vote and standard classification and associated</w:t>
      </w:r>
      <w:r w:rsidR="00CA4982">
        <w:rPr>
          <w:rFonts w:ascii="Arial" w:hAnsi="Arial" w:cs="Arial"/>
          <w:sz w:val="22"/>
          <w:szCs w:val="22"/>
        </w:rPr>
        <w:t xml:space="preserve"> funding by source as c</w:t>
      </w:r>
      <w:r w:rsidR="0064055F">
        <w:rPr>
          <w:rFonts w:ascii="Arial" w:hAnsi="Arial" w:cs="Arial"/>
          <w:sz w:val="22"/>
          <w:szCs w:val="22"/>
        </w:rPr>
        <w:t>ontained in Table 22.</w:t>
      </w:r>
    </w:p>
    <w:p w:rsidR="00720EE8" w:rsidRDefault="00720EE8" w:rsidP="00720EE8">
      <w:pPr>
        <w:pStyle w:val="Arial"/>
        <w:ind w:left="360"/>
        <w:rPr>
          <w:rFonts w:ascii="Arial" w:hAnsi="Arial" w:cs="Arial"/>
          <w:sz w:val="22"/>
          <w:szCs w:val="22"/>
        </w:rPr>
      </w:pPr>
    </w:p>
    <w:p w:rsidR="00AE5A57" w:rsidRPr="009B31E6" w:rsidRDefault="00745FE4" w:rsidP="00E50C0E">
      <w:pPr>
        <w:pStyle w:val="Arial"/>
        <w:numPr>
          <w:ilvl w:val="1"/>
          <w:numId w:val="12"/>
        </w:numPr>
        <w:rPr>
          <w:rFonts w:ascii="Arial" w:hAnsi="Arial" w:cs="Arial"/>
          <w:sz w:val="22"/>
          <w:szCs w:val="22"/>
        </w:rPr>
      </w:pPr>
      <w:r>
        <w:rPr>
          <w:rFonts w:ascii="Arial" w:hAnsi="Arial" w:cs="Arial"/>
          <w:sz w:val="22"/>
          <w:szCs w:val="22"/>
        </w:rPr>
        <w:t>T</w:t>
      </w:r>
      <w:r w:rsidR="00AE5A57" w:rsidRPr="009B31E6">
        <w:rPr>
          <w:rFonts w:ascii="Arial" w:hAnsi="Arial" w:cs="Arial"/>
          <w:sz w:val="22"/>
          <w:szCs w:val="22"/>
        </w:rPr>
        <w:t>he financial position, cash flow</w:t>
      </w:r>
      <w:r w:rsidR="00C13B78" w:rsidRPr="009B31E6">
        <w:rPr>
          <w:rFonts w:ascii="Arial" w:hAnsi="Arial" w:cs="Arial"/>
          <w:sz w:val="22"/>
          <w:szCs w:val="22"/>
        </w:rPr>
        <w:t xml:space="preserve"> budget</w:t>
      </w:r>
      <w:r w:rsidR="00AE5A57" w:rsidRPr="009B31E6">
        <w:rPr>
          <w:rFonts w:ascii="Arial" w:hAnsi="Arial" w:cs="Arial"/>
          <w:sz w:val="22"/>
          <w:szCs w:val="22"/>
        </w:rPr>
        <w:t xml:space="preserve">, cash-backed reserve/accumulated surplus, asset management and basic service delivery targets are </w:t>
      </w:r>
      <w:r>
        <w:rPr>
          <w:rFonts w:ascii="Arial" w:hAnsi="Arial" w:cs="Arial"/>
          <w:sz w:val="22"/>
          <w:szCs w:val="22"/>
        </w:rPr>
        <w:t xml:space="preserve">approved </w:t>
      </w:r>
      <w:r w:rsidR="00AE5A57" w:rsidRPr="009B31E6">
        <w:rPr>
          <w:rFonts w:ascii="Arial" w:hAnsi="Arial" w:cs="Arial"/>
          <w:sz w:val="22"/>
          <w:szCs w:val="22"/>
        </w:rPr>
        <w:t>as set out in the following tables:</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Financial Position as conta</w:t>
      </w:r>
      <w:r w:rsidR="0064055F">
        <w:rPr>
          <w:rFonts w:ascii="Arial" w:hAnsi="Arial" w:cs="Arial"/>
          <w:sz w:val="22"/>
          <w:szCs w:val="22"/>
        </w:rPr>
        <w:t>ined in Table 23</w:t>
      </w:r>
      <w:r w:rsidR="00CA4982">
        <w:rPr>
          <w:rFonts w:ascii="Arial" w:hAnsi="Arial" w:cs="Arial"/>
          <w:sz w:val="22"/>
          <w:szCs w:val="22"/>
        </w:rPr>
        <w:t>;</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Budgeted Cash F</w:t>
      </w:r>
      <w:r w:rsidR="00C13B78" w:rsidRPr="00745FE4">
        <w:rPr>
          <w:rFonts w:ascii="Arial" w:hAnsi="Arial" w:cs="Arial"/>
          <w:sz w:val="22"/>
          <w:szCs w:val="22"/>
        </w:rPr>
        <w:t xml:space="preserve">lows as contained in </w:t>
      </w:r>
      <w:r w:rsidR="0064055F">
        <w:rPr>
          <w:rFonts w:ascii="Arial" w:hAnsi="Arial" w:cs="Arial"/>
          <w:sz w:val="22"/>
          <w:szCs w:val="22"/>
        </w:rPr>
        <w:t>Table 24</w:t>
      </w:r>
      <w:r w:rsidR="00CA4982">
        <w:rPr>
          <w:rFonts w:ascii="Arial" w:hAnsi="Arial" w:cs="Arial"/>
          <w:sz w:val="22"/>
          <w:szCs w:val="22"/>
        </w:rPr>
        <w:t>;</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Cash backed reserves and accumulated surplus</w:t>
      </w:r>
      <w:r w:rsidR="00CA4982">
        <w:rPr>
          <w:rFonts w:ascii="Arial" w:hAnsi="Arial" w:cs="Arial"/>
          <w:sz w:val="22"/>
          <w:szCs w:val="22"/>
        </w:rPr>
        <w:t xml:space="preserve"> reconciliation as </w:t>
      </w:r>
      <w:r w:rsidR="0064055F">
        <w:rPr>
          <w:rFonts w:ascii="Arial" w:hAnsi="Arial" w:cs="Arial"/>
          <w:sz w:val="22"/>
          <w:szCs w:val="22"/>
        </w:rPr>
        <w:t>contained in Table 25</w:t>
      </w:r>
      <w:r w:rsidR="00CA4982">
        <w:rPr>
          <w:rFonts w:ascii="Arial" w:hAnsi="Arial" w:cs="Arial"/>
          <w:sz w:val="22"/>
          <w:szCs w:val="22"/>
        </w:rPr>
        <w:t>;</w:t>
      </w:r>
    </w:p>
    <w:p w:rsidR="00C13B78"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Asset manag</w:t>
      </w:r>
      <w:r w:rsidR="00C13B78" w:rsidRPr="00745FE4">
        <w:rPr>
          <w:rFonts w:ascii="Arial" w:hAnsi="Arial" w:cs="Arial"/>
          <w:sz w:val="22"/>
          <w:szCs w:val="22"/>
        </w:rPr>
        <w:t xml:space="preserve">ement as contained in </w:t>
      </w:r>
      <w:r w:rsidR="0064055F">
        <w:rPr>
          <w:rFonts w:ascii="Arial" w:hAnsi="Arial" w:cs="Arial"/>
          <w:sz w:val="22"/>
          <w:szCs w:val="22"/>
        </w:rPr>
        <w:t>Table 26</w:t>
      </w:r>
      <w:r w:rsidR="00CA4982">
        <w:rPr>
          <w:rFonts w:ascii="Arial" w:hAnsi="Arial" w:cs="Arial"/>
          <w:sz w:val="22"/>
          <w:szCs w:val="22"/>
        </w:rPr>
        <w:t>; and</w:t>
      </w:r>
    </w:p>
    <w:p w:rsidR="00AE5A57" w:rsidRPr="00745FE4" w:rsidRDefault="00AE5A57" w:rsidP="00E50C0E">
      <w:pPr>
        <w:pStyle w:val="Arial"/>
        <w:numPr>
          <w:ilvl w:val="2"/>
          <w:numId w:val="12"/>
        </w:numPr>
        <w:ind w:left="1418" w:hanging="698"/>
        <w:rPr>
          <w:rFonts w:ascii="Arial" w:hAnsi="Arial" w:cs="Arial"/>
          <w:sz w:val="22"/>
          <w:szCs w:val="22"/>
        </w:rPr>
      </w:pPr>
      <w:r w:rsidRPr="00745FE4">
        <w:rPr>
          <w:rFonts w:ascii="Arial" w:hAnsi="Arial" w:cs="Arial"/>
          <w:sz w:val="22"/>
          <w:szCs w:val="22"/>
        </w:rPr>
        <w:t xml:space="preserve">Basic service delivery measurement as contained in </w:t>
      </w:r>
      <w:r w:rsidR="0064055F">
        <w:rPr>
          <w:rFonts w:ascii="Arial" w:hAnsi="Arial" w:cs="Arial"/>
          <w:sz w:val="22"/>
          <w:szCs w:val="22"/>
        </w:rPr>
        <w:t>Table 27</w:t>
      </w:r>
      <w:r w:rsidR="00CA4982">
        <w:rPr>
          <w:rFonts w:ascii="Arial" w:hAnsi="Arial" w:cs="Arial"/>
          <w:sz w:val="22"/>
          <w:szCs w:val="22"/>
        </w:rPr>
        <w:t>.</w:t>
      </w:r>
    </w:p>
    <w:p w:rsidR="00AE5A57" w:rsidRPr="00720EE8" w:rsidRDefault="00AE5A57" w:rsidP="00107024">
      <w:pPr>
        <w:pStyle w:val="Arial"/>
        <w:ind w:left="360"/>
        <w:rPr>
          <w:rFonts w:ascii="Arial" w:hAnsi="Arial" w:cs="Arial"/>
          <w:sz w:val="22"/>
          <w:szCs w:val="22"/>
        </w:rPr>
      </w:pPr>
    </w:p>
    <w:p w:rsidR="00745FE4" w:rsidRDefault="0064055F" w:rsidP="00E50C0E">
      <w:pPr>
        <w:pStyle w:val="Arial"/>
        <w:numPr>
          <w:ilvl w:val="0"/>
          <w:numId w:val="12"/>
        </w:numPr>
        <w:rPr>
          <w:rFonts w:ascii="Arial" w:hAnsi="Arial" w:cs="Arial"/>
          <w:sz w:val="22"/>
          <w:szCs w:val="22"/>
        </w:rPr>
      </w:pPr>
      <w:r>
        <w:rPr>
          <w:rFonts w:ascii="Arial" w:hAnsi="Arial" w:cs="Arial"/>
          <w:sz w:val="22"/>
          <w:szCs w:val="22"/>
        </w:rPr>
        <w:t xml:space="preserve">The Council of </w:t>
      </w:r>
      <w:proofErr w:type="spellStart"/>
      <w:r w:rsidR="002968BB">
        <w:rPr>
          <w:rFonts w:ascii="Arial" w:hAnsi="Arial" w:cs="Arial"/>
          <w:sz w:val="22"/>
          <w:szCs w:val="22"/>
        </w:rPr>
        <w:t>Inkosi</w:t>
      </w:r>
      <w:proofErr w:type="spellEnd"/>
      <w:r w:rsidR="002968BB">
        <w:rPr>
          <w:rFonts w:ascii="Arial" w:hAnsi="Arial" w:cs="Arial"/>
          <w:sz w:val="22"/>
          <w:szCs w:val="22"/>
        </w:rPr>
        <w:t xml:space="preserve"> Langalibalele</w:t>
      </w:r>
      <w:r w:rsidR="00745FE4">
        <w:rPr>
          <w:rFonts w:ascii="Arial" w:hAnsi="Arial" w:cs="Arial"/>
          <w:sz w:val="22"/>
          <w:szCs w:val="22"/>
        </w:rPr>
        <w:t xml:space="preserve"> Local Municipality, acting in terms of </w:t>
      </w:r>
      <w:r w:rsidR="00745FE4" w:rsidRPr="009B31E6">
        <w:rPr>
          <w:rFonts w:ascii="Arial" w:hAnsi="Arial" w:cs="Arial"/>
          <w:sz w:val="22"/>
          <w:szCs w:val="22"/>
        </w:rPr>
        <w:t>section 75A of the Local Government:  Municipal Systems Act</w:t>
      </w:r>
      <w:r w:rsidR="00720EE8">
        <w:rPr>
          <w:rFonts w:ascii="Arial" w:hAnsi="Arial" w:cs="Arial"/>
          <w:sz w:val="22"/>
          <w:szCs w:val="22"/>
        </w:rPr>
        <w:t xml:space="preserve"> (</w:t>
      </w:r>
      <w:r w:rsidR="00745FE4" w:rsidRPr="009B31E6">
        <w:rPr>
          <w:rFonts w:ascii="Arial" w:hAnsi="Arial" w:cs="Arial"/>
          <w:sz w:val="22"/>
          <w:szCs w:val="22"/>
        </w:rPr>
        <w:t>Act 32 of 2000</w:t>
      </w:r>
      <w:r w:rsidR="00720EE8">
        <w:rPr>
          <w:rFonts w:ascii="Arial" w:hAnsi="Arial" w:cs="Arial"/>
          <w:sz w:val="22"/>
          <w:szCs w:val="22"/>
        </w:rPr>
        <w:t>)</w:t>
      </w:r>
      <w:r w:rsidR="00745FE4">
        <w:rPr>
          <w:rFonts w:ascii="Arial" w:hAnsi="Arial" w:cs="Arial"/>
          <w:sz w:val="22"/>
          <w:szCs w:val="22"/>
        </w:rPr>
        <w:t xml:space="preserve"> approves and adopts</w:t>
      </w:r>
      <w:r w:rsidR="00745FE4" w:rsidRPr="00745FE4">
        <w:rPr>
          <w:rFonts w:ascii="Arial" w:hAnsi="Arial" w:cs="Arial"/>
          <w:sz w:val="22"/>
          <w:szCs w:val="22"/>
        </w:rPr>
        <w:t xml:space="preserve"> </w:t>
      </w:r>
      <w:r w:rsidR="004454A3">
        <w:rPr>
          <w:rFonts w:ascii="Arial" w:hAnsi="Arial" w:cs="Arial"/>
          <w:sz w:val="22"/>
          <w:szCs w:val="22"/>
        </w:rPr>
        <w:t>with effect from 1 July 2019</w:t>
      </w:r>
      <w:r w:rsidR="00745FE4">
        <w:rPr>
          <w:rFonts w:ascii="Arial" w:hAnsi="Arial" w:cs="Arial"/>
          <w:sz w:val="22"/>
          <w:szCs w:val="22"/>
        </w:rPr>
        <w:t xml:space="preserve">: </w:t>
      </w:r>
    </w:p>
    <w:p w:rsidR="00107024" w:rsidRDefault="00745FE4" w:rsidP="00E50C0E">
      <w:pPr>
        <w:pStyle w:val="Arial"/>
        <w:numPr>
          <w:ilvl w:val="1"/>
          <w:numId w:val="12"/>
        </w:numPr>
        <w:rPr>
          <w:rFonts w:ascii="Arial" w:hAnsi="Arial" w:cs="Arial"/>
          <w:sz w:val="22"/>
          <w:szCs w:val="22"/>
        </w:rPr>
      </w:pPr>
      <w:r>
        <w:rPr>
          <w:rFonts w:ascii="Arial" w:hAnsi="Arial" w:cs="Arial"/>
          <w:sz w:val="22"/>
          <w:szCs w:val="22"/>
        </w:rPr>
        <w:t>the</w:t>
      </w:r>
      <w:r w:rsidR="00AE5A57" w:rsidRPr="009B31E6">
        <w:rPr>
          <w:rFonts w:ascii="Arial" w:hAnsi="Arial" w:cs="Arial"/>
          <w:sz w:val="22"/>
          <w:szCs w:val="22"/>
        </w:rPr>
        <w:t xml:space="preserve"> tariffs for property rates</w:t>
      </w:r>
      <w:r w:rsidR="0064055F">
        <w:rPr>
          <w:rFonts w:ascii="Arial" w:hAnsi="Arial" w:cs="Arial"/>
          <w:sz w:val="22"/>
          <w:szCs w:val="22"/>
        </w:rPr>
        <w:t>;</w:t>
      </w:r>
    </w:p>
    <w:p w:rsidR="00107024" w:rsidRPr="0064055F" w:rsidRDefault="00107024" w:rsidP="0064055F">
      <w:pPr>
        <w:pStyle w:val="Arial"/>
        <w:numPr>
          <w:ilvl w:val="1"/>
          <w:numId w:val="12"/>
        </w:numPr>
        <w:rPr>
          <w:rFonts w:ascii="Arial" w:hAnsi="Arial" w:cs="Arial"/>
          <w:sz w:val="22"/>
          <w:szCs w:val="22"/>
        </w:rPr>
      </w:pPr>
      <w:r>
        <w:rPr>
          <w:rFonts w:ascii="Arial" w:hAnsi="Arial" w:cs="Arial"/>
          <w:sz w:val="22"/>
          <w:szCs w:val="22"/>
        </w:rPr>
        <w:t>the tariffs for electr</w:t>
      </w:r>
      <w:r w:rsidR="0064055F">
        <w:rPr>
          <w:rFonts w:ascii="Arial" w:hAnsi="Arial" w:cs="Arial"/>
          <w:sz w:val="22"/>
          <w:szCs w:val="22"/>
        </w:rPr>
        <w:t>icity; and</w:t>
      </w:r>
    </w:p>
    <w:p w:rsidR="00AE5A57" w:rsidRPr="009B31E6" w:rsidRDefault="00107024" w:rsidP="00E50C0E">
      <w:pPr>
        <w:pStyle w:val="Arial"/>
        <w:numPr>
          <w:ilvl w:val="1"/>
          <w:numId w:val="12"/>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tariffs for solid </w:t>
      </w:r>
      <w:r w:rsidR="0064055F">
        <w:rPr>
          <w:rFonts w:ascii="Arial" w:hAnsi="Arial" w:cs="Arial"/>
          <w:sz w:val="22"/>
          <w:szCs w:val="22"/>
        </w:rPr>
        <w:t>waste services.</w:t>
      </w:r>
    </w:p>
    <w:p w:rsidR="00AE5A57" w:rsidRDefault="00AE5A57" w:rsidP="00107024">
      <w:pPr>
        <w:pStyle w:val="Arial"/>
        <w:ind w:left="360"/>
        <w:rPr>
          <w:rFonts w:ascii="Arial" w:hAnsi="Arial" w:cs="Arial"/>
          <w:sz w:val="22"/>
          <w:szCs w:val="22"/>
        </w:rPr>
      </w:pPr>
    </w:p>
    <w:p w:rsidR="00107024" w:rsidRDefault="00107024" w:rsidP="00107024">
      <w:pPr>
        <w:pStyle w:val="Arial"/>
        <w:ind w:left="360"/>
        <w:rPr>
          <w:rFonts w:ascii="Arial" w:hAnsi="Arial" w:cs="Arial"/>
          <w:sz w:val="22"/>
          <w:szCs w:val="22"/>
        </w:rPr>
      </w:pPr>
    </w:p>
    <w:p w:rsidR="00720EE8" w:rsidRDefault="00107024" w:rsidP="00E50C0E">
      <w:pPr>
        <w:pStyle w:val="Arial"/>
        <w:numPr>
          <w:ilvl w:val="0"/>
          <w:numId w:val="12"/>
        </w:numPr>
        <w:rPr>
          <w:rFonts w:ascii="Arial" w:hAnsi="Arial" w:cs="Arial"/>
          <w:sz w:val="22"/>
          <w:szCs w:val="22"/>
        </w:rPr>
      </w:pPr>
      <w:r>
        <w:rPr>
          <w:rFonts w:ascii="Arial" w:hAnsi="Arial" w:cs="Arial"/>
          <w:sz w:val="22"/>
          <w:szCs w:val="22"/>
        </w:rPr>
        <w:t>T</w:t>
      </w:r>
      <w:r w:rsidR="00720EE8">
        <w:rPr>
          <w:rFonts w:ascii="Arial" w:hAnsi="Arial" w:cs="Arial"/>
          <w:sz w:val="22"/>
          <w:szCs w:val="22"/>
        </w:rPr>
        <w:t>o give proper effect to the municipality’s annual budget</w:t>
      </w:r>
      <w:r w:rsidR="0064055F">
        <w:rPr>
          <w:rFonts w:ascii="Arial" w:hAnsi="Arial" w:cs="Arial"/>
          <w:sz w:val="22"/>
          <w:szCs w:val="22"/>
        </w:rPr>
        <w:t xml:space="preserve">, the Council of </w:t>
      </w:r>
      <w:proofErr w:type="spellStart"/>
      <w:r w:rsidR="002968BB">
        <w:rPr>
          <w:rFonts w:ascii="Arial" w:hAnsi="Arial" w:cs="Arial"/>
          <w:sz w:val="22"/>
          <w:szCs w:val="22"/>
        </w:rPr>
        <w:t>Inkosi</w:t>
      </w:r>
      <w:proofErr w:type="spellEnd"/>
      <w:r w:rsidR="002968BB">
        <w:rPr>
          <w:rFonts w:ascii="Arial" w:hAnsi="Arial" w:cs="Arial"/>
          <w:sz w:val="22"/>
          <w:szCs w:val="22"/>
        </w:rPr>
        <w:t xml:space="preserve"> Langalibalele</w:t>
      </w:r>
      <w:r w:rsidR="00720EE8">
        <w:rPr>
          <w:rFonts w:ascii="Arial" w:hAnsi="Arial" w:cs="Arial"/>
          <w:sz w:val="22"/>
          <w:szCs w:val="22"/>
        </w:rPr>
        <w:t xml:space="preserve"> Local Municipality approves</w:t>
      </w:r>
      <w:r w:rsidR="00120A4C">
        <w:rPr>
          <w:rFonts w:ascii="Arial" w:hAnsi="Arial" w:cs="Arial"/>
          <w:sz w:val="22"/>
          <w:szCs w:val="22"/>
        </w:rPr>
        <w:t>:</w:t>
      </w:r>
      <w:r w:rsidR="00720EE8" w:rsidRPr="009B31E6">
        <w:rPr>
          <w:rFonts w:ascii="Arial" w:hAnsi="Arial" w:cs="Arial"/>
          <w:sz w:val="22"/>
          <w:szCs w:val="22"/>
        </w:rPr>
        <w:t xml:space="preserve"> </w:t>
      </w:r>
    </w:p>
    <w:p w:rsidR="00AE5A57" w:rsidRPr="009B31E6" w:rsidRDefault="00720EE8" w:rsidP="00E50C0E">
      <w:pPr>
        <w:pStyle w:val="Arial"/>
        <w:numPr>
          <w:ilvl w:val="1"/>
          <w:numId w:val="12"/>
        </w:numPr>
        <w:rPr>
          <w:rFonts w:ascii="Arial" w:hAnsi="Arial" w:cs="Arial"/>
          <w:sz w:val="22"/>
          <w:szCs w:val="22"/>
        </w:rPr>
      </w:pPr>
      <w:r>
        <w:rPr>
          <w:rFonts w:ascii="Arial" w:hAnsi="Arial" w:cs="Arial"/>
          <w:sz w:val="22"/>
          <w:szCs w:val="22"/>
        </w:rPr>
        <w:t>T</w:t>
      </w:r>
      <w:r w:rsidR="00AE5A57" w:rsidRPr="009B31E6">
        <w:rPr>
          <w:rFonts w:ascii="Arial" w:hAnsi="Arial" w:cs="Arial"/>
          <w:sz w:val="22"/>
          <w:szCs w:val="22"/>
        </w:rPr>
        <w:t xml:space="preserve">hat cash backing </w:t>
      </w:r>
      <w:r w:rsidR="00826C8C" w:rsidRPr="009B31E6">
        <w:rPr>
          <w:rFonts w:ascii="Arial" w:hAnsi="Arial" w:cs="Arial"/>
          <w:sz w:val="22"/>
          <w:szCs w:val="22"/>
        </w:rPr>
        <w:t>is</w:t>
      </w:r>
      <w:r w:rsidR="00AE5A57" w:rsidRPr="009B31E6">
        <w:rPr>
          <w:rFonts w:ascii="Arial" w:hAnsi="Arial" w:cs="Arial"/>
          <w:sz w:val="22"/>
          <w:szCs w:val="22"/>
        </w:rPr>
        <w:t xml:space="preserve"> implemented through the utilisation of a portion of </w:t>
      </w:r>
      <w:r w:rsidR="001D1A1C">
        <w:rPr>
          <w:rFonts w:ascii="Arial" w:hAnsi="Arial" w:cs="Arial"/>
          <w:sz w:val="22"/>
          <w:szCs w:val="22"/>
        </w:rPr>
        <w:t xml:space="preserve">the </w:t>
      </w:r>
      <w:r w:rsidR="00AE5A57" w:rsidRPr="009B31E6">
        <w:rPr>
          <w:rFonts w:ascii="Arial" w:hAnsi="Arial" w:cs="Arial"/>
          <w:sz w:val="22"/>
          <w:szCs w:val="22"/>
        </w:rPr>
        <w:t>revenue generated from property rates to ensure that all capital reserves and provisions, unspent long-term loans and unspent conditional grants are cash backed</w:t>
      </w:r>
      <w:r w:rsidR="00120A4C">
        <w:rPr>
          <w:rFonts w:ascii="Arial" w:hAnsi="Arial" w:cs="Arial"/>
          <w:sz w:val="22"/>
          <w:szCs w:val="22"/>
        </w:rPr>
        <w:t xml:space="preserve"> as required in terms of the </w:t>
      </w:r>
      <w:r w:rsidR="00282173">
        <w:rPr>
          <w:rFonts w:ascii="Arial" w:hAnsi="Arial" w:cs="Arial"/>
          <w:sz w:val="22"/>
          <w:szCs w:val="22"/>
        </w:rPr>
        <w:t>m</w:t>
      </w:r>
      <w:r w:rsidR="00120A4C">
        <w:rPr>
          <w:rFonts w:ascii="Arial" w:hAnsi="Arial" w:cs="Arial"/>
          <w:sz w:val="22"/>
          <w:szCs w:val="22"/>
        </w:rPr>
        <w:t>unicipalit</w:t>
      </w:r>
      <w:r w:rsidR="00282173">
        <w:rPr>
          <w:rFonts w:ascii="Arial" w:hAnsi="Arial" w:cs="Arial"/>
          <w:sz w:val="22"/>
          <w:szCs w:val="22"/>
        </w:rPr>
        <w:t>y’s</w:t>
      </w:r>
      <w:r w:rsidR="00120A4C">
        <w:rPr>
          <w:rFonts w:ascii="Arial" w:hAnsi="Arial" w:cs="Arial"/>
          <w:sz w:val="22"/>
          <w:szCs w:val="22"/>
        </w:rPr>
        <w:t xml:space="preserve"> funding and reserves policy as prescribed by </w:t>
      </w:r>
      <w:r w:rsidR="00282173">
        <w:rPr>
          <w:rFonts w:ascii="Arial" w:hAnsi="Arial" w:cs="Arial"/>
          <w:sz w:val="22"/>
          <w:szCs w:val="22"/>
        </w:rPr>
        <w:t>s</w:t>
      </w:r>
      <w:r w:rsidR="00120A4C">
        <w:rPr>
          <w:rFonts w:ascii="Arial" w:hAnsi="Arial" w:cs="Arial"/>
          <w:sz w:val="22"/>
          <w:szCs w:val="22"/>
        </w:rPr>
        <w:t>ection 8 of the Municipal Budget and Reporting Regulations.</w:t>
      </w:r>
    </w:p>
    <w:p w:rsidR="00826C8C" w:rsidRPr="009B31E6" w:rsidRDefault="00826C8C" w:rsidP="0064055F">
      <w:pPr>
        <w:pStyle w:val="Arial"/>
        <w:ind w:left="792"/>
        <w:rPr>
          <w:rFonts w:ascii="Arial" w:hAnsi="Arial" w:cs="Arial"/>
          <w:sz w:val="22"/>
          <w:szCs w:val="22"/>
        </w:rPr>
      </w:pPr>
    </w:p>
    <w:p w:rsidR="00AE5A57" w:rsidRPr="009B31E6" w:rsidRDefault="00AE5A57" w:rsidP="00E50C0E">
      <w:pPr>
        <w:pStyle w:val="Arial"/>
        <w:numPr>
          <w:ilvl w:val="1"/>
          <w:numId w:val="12"/>
        </w:numPr>
        <w:rPr>
          <w:rFonts w:ascii="Arial" w:hAnsi="Arial" w:cs="Arial"/>
          <w:sz w:val="22"/>
          <w:szCs w:val="22"/>
        </w:rPr>
      </w:pPr>
      <w:r w:rsidRPr="009B31E6">
        <w:rPr>
          <w:rFonts w:ascii="Arial" w:hAnsi="Arial" w:cs="Arial"/>
          <w:sz w:val="22"/>
          <w:szCs w:val="22"/>
        </w:rPr>
        <w:t xml:space="preserve">That the </w:t>
      </w:r>
      <w:r w:rsidR="00826C8C" w:rsidRPr="009B31E6">
        <w:rPr>
          <w:rFonts w:ascii="Arial" w:hAnsi="Arial" w:cs="Arial"/>
          <w:sz w:val="22"/>
          <w:szCs w:val="22"/>
        </w:rPr>
        <w:t xml:space="preserve">Municipal </w:t>
      </w:r>
      <w:r w:rsidRPr="009B31E6">
        <w:rPr>
          <w:rFonts w:ascii="Arial" w:hAnsi="Arial" w:cs="Arial"/>
          <w:sz w:val="22"/>
          <w:szCs w:val="22"/>
        </w:rPr>
        <w:t xml:space="preserve">Manager be authorised to sign all necessary agreements </w:t>
      </w:r>
      <w:r w:rsidR="00282173">
        <w:rPr>
          <w:rFonts w:ascii="Arial" w:hAnsi="Arial" w:cs="Arial"/>
          <w:sz w:val="22"/>
          <w:szCs w:val="22"/>
        </w:rPr>
        <w:t xml:space="preserve">and </w:t>
      </w:r>
      <w:r w:rsidRPr="009B31E6">
        <w:rPr>
          <w:rFonts w:ascii="Arial" w:hAnsi="Arial" w:cs="Arial"/>
          <w:sz w:val="22"/>
          <w:szCs w:val="22"/>
        </w:rPr>
        <w:t xml:space="preserve">documents to give effect to </w:t>
      </w:r>
      <w:r w:rsidR="00720EE8">
        <w:rPr>
          <w:rFonts w:ascii="Arial" w:hAnsi="Arial" w:cs="Arial"/>
          <w:sz w:val="22"/>
          <w:szCs w:val="22"/>
        </w:rPr>
        <w:t>the above lending programme</w:t>
      </w:r>
      <w:r w:rsidRPr="009B31E6">
        <w:rPr>
          <w:rFonts w:ascii="Arial" w:hAnsi="Arial" w:cs="Arial"/>
          <w:sz w:val="22"/>
          <w:szCs w:val="22"/>
        </w:rPr>
        <w:t>.</w:t>
      </w:r>
    </w:p>
    <w:p w:rsidR="00AE5A57" w:rsidRPr="007842EC" w:rsidRDefault="00AE5A57" w:rsidP="004F0644">
      <w:pPr>
        <w:spacing w:after="0" w:line="240" w:lineRule="auto"/>
        <w:jc w:val="both"/>
        <w:rPr>
          <w:rFonts w:ascii="Arial" w:hAnsi="Arial" w:cs="Arial"/>
          <w:sz w:val="18"/>
          <w:szCs w:val="18"/>
        </w:rPr>
      </w:pPr>
    </w:p>
    <w:p w:rsidR="00A94F8D" w:rsidRPr="008D6BA7" w:rsidRDefault="00A94F8D" w:rsidP="00C8149B">
      <w:pPr>
        <w:pStyle w:val="Heading2"/>
        <w:rPr>
          <w:rFonts w:ascii="Arial" w:hAnsi="Arial" w:cs="Arial"/>
          <w:color w:val="auto"/>
        </w:rPr>
      </w:pPr>
      <w:bookmarkStart w:id="23" w:name="_Toc286034092"/>
      <w:bookmarkStart w:id="24" w:name="_Toc286034683"/>
      <w:bookmarkStart w:id="25" w:name="_Toc286041434"/>
      <w:bookmarkStart w:id="26" w:name="_Toc286041503"/>
      <w:bookmarkStart w:id="27" w:name="_Toc286117313"/>
      <w:bookmarkStart w:id="28" w:name="_Toc287342524"/>
      <w:r w:rsidRPr="008D6BA7">
        <w:rPr>
          <w:rFonts w:ascii="Arial" w:hAnsi="Arial" w:cs="Arial"/>
          <w:color w:val="auto"/>
        </w:rPr>
        <w:t>Executive Summary</w:t>
      </w:r>
      <w:bookmarkEnd w:id="23"/>
      <w:bookmarkEnd w:id="24"/>
      <w:bookmarkEnd w:id="25"/>
      <w:bookmarkEnd w:id="26"/>
      <w:bookmarkEnd w:id="27"/>
      <w:bookmarkEnd w:id="28"/>
    </w:p>
    <w:p w:rsidR="00732554" w:rsidRPr="00732554" w:rsidRDefault="00732554" w:rsidP="00E661CF">
      <w:pPr>
        <w:spacing w:after="0" w:line="240" w:lineRule="auto"/>
        <w:jc w:val="both"/>
        <w:rPr>
          <w:rFonts w:ascii="Arial" w:hAnsi="Arial" w:cs="Arial"/>
        </w:rPr>
      </w:pPr>
    </w:p>
    <w:p w:rsidR="00732554" w:rsidRPr="00732554" w:rsidRDefault="00732554" w:rsidP="00732554">
      <w:pPr>
        <w:spacing w:after="0" w:line="240" w:lineRule="auto"/>
        <w:jc w:val="both"/>
        <w:rPr>
          <w:rFonts w:ascii="Arial" w:hAnsi="Arial" w:cs="Arial"/>
        </w:rPr>
      </w:pPr>
      <w:r w:rsidRPr="00732554">
        <w:rPr>
          <w:rFonts w:ascii="Arial" w:hAnsi="Arial" w:cs="Arial"/>
        </w:rPr>
        <w:t xml:space="preserve">The application of sound financial management principles for the compilation of the </w:t>
      </w:r>
      <w:r w:rsidR="0064055F">
        <w:rPr>
          <w:rFonts w:ascii="Arial" w:hAnsi="Arial" w:cs="Arial"/>
        </w:rPr>
        <w:t>Municipality’s</w:t>
      </w:r>
      <w:r w:rsidRPr="00732554">
        <w:rPr>
          <w:rFonts w:ascii="Arial" w:hAnsi="Arial" w:cs="Arial"/>
        </w:rPr>
        <w:t xml:space="preserve"> financial plan is essential a</w:t>
      </w:r>
      <w:r w:rsidR="0064055F">
        <w:rPr>
          <w:rFonts w:ascii="Arial" w:hAnsi="Arial" w:cs="Arial"/>
        </w:rPr>
        <w:t>nd critical to ensure that the Municipality</w:t>
      </w:r>
      <w:r w:rsidR="00645098">
        <w:rPr>
          <w:rFonts w:ascii="Arial" w:hAnsi="Arial" w:cs="Arial"/>
        </w:rPr>
        <w:t xml:space="preserve"> r</w:t>
      </w:r>
      <w:r w:rsidRPr="00732554">
        <w:rPr>
          <w:rFonts w:ascii="Arial" w:hAnsi="Arial" w:cs="Arial"/>
        </w:rPr>
        <w:t>emains financially viable and that municipal services are provided</w:t>
      </w:r>
      <w:r w:rsidR="00282173">
        <w:rPr>
          <w:rFonts w:ascii="Arial" w:hAnsi="Arial" w:cs="Arial"/>
        </w:rPr>
        <w:t xml:space="preserve"> sustainably,</w:t>
      </w:r>
      <w:r w:rsidRPr="00732554">
        <w:rPr>
          <w:rFonts w:ascii="Arial" w:hAnsi="Arial" w:cs="Arial"/>
        </w:rPr>
        <w:t xml:space="preserve"> economically</w:t>
      </w:r>
      <w:r w:rsidR="00F972B4">
        <w:rPr>
          <w:rFonts w:ascii="Arial" w:hAnsi="Arial" w:cs="Arial"/>
        </w:rPr>
        <w:t xml:space="preserve"> and equitably</w:t>
      </w:r>
      <w:r w:rsidRPr="00732554">
        <w:rPr>
          <w:rFonts w:ascii="Arial" w:hAnsi="Arial" w:cs="Arial"/>
        </w:rPr>
        <w:t xml:space="preserve"> to all communities.</w:t>
      </w:r>
    </w:p>
    <w:p w:rsidR="00732554" w:rsidRPr="00732554" w:rsidRDefault="00732554" w:rsidP="00732554">
      <w:pPr>
        <w:spacing w:after="0" w:line="240" w:lineRule="auto"/>
        <w:jc w:val="both"/>
        <w:rPr>
          <w:rFonts w:ascii="Arial" w:hAnsi="Arial" w:cs="Arial"/>
        </w:rPr>
      </w:pPr>
    </w:p>
    <w:p w:rsidR="00732554" w:rsidRPr="00732554" w:rsidRDefault="0064055F" w:rsidP="00732554">
      <w:pPr>
        <w:spacing w:after="0" w:line="240" w:lineRule="auto"/>
        <w:jc w:val="both"/>
        <w:rPr>
          <w:rFonts w:ascii="Arial" w:hAnsi="Arial" w:cs="Arial"/>
        </w:rPr>
      </w:pPr>
      <w:r>
        <w:rPr>
          <w:rFonts w:ascii="Arial" w:hAnsi="Arial" w:cs="Arial"/>
        </w:rPr>
        <w:t>The Municipality’s</w:t>
      </w:r>
      <w:r w:rsidR="00732554" w:rsidRPr="00732554">
        <w:rPr>
          <w:rFonts w:ascii="Arial" w:hAnsi="Arial" w:cs="Arial"/>
        </w:rPr>
        <w:t xml:space="preserve"> business</w:t>
      </w:r>
      <w:r w:rsidR="00B3120E">
        <w:rPr>
          <w:rFonts w:ascii="Arial" w:hAnsi="Arial" w:cs="Arial"/>
        </w:rPr>
        <w:t xml:space="preserve"> and service delivery </w:t>
      </w:r>
      <w:r w:rsidR="00282173">
        <w:rPr>
          <w:rFonts w:ascii="Arial" w:hAnsi="Arial" w:cs="Arial"/>
        </w:rPr>
        <w:t xml:space="preserve">priorities </w:t>
      </w:r>
      <w:r w:rsidR="00732554" w:rsidRPr="00732554">
        <w:rPr>
          <w:rFonts w:ascii="Arial" w:hAnsi="Arial" w:cs="Arial"/>
        </w:rPr>
        <w:t>w</w:t>
      </w:r>
      <w:r w:rsidR="00B3120E">
        <w:rPr>
          <w:rFonts w:ascii="Arial" w:hAnsi="Arial" w:cs="Arial"/>
        </w:rPr>
        <w:t>ere</w:t>
      </w:r>
      <w:r w:rsidR="00732554" w:rsidRPr="00732554">
        <w:rPr>
          <w:rFonts w:ascii="Arial" w:hAnsi="Arial" w:cs="Arial"/>
        </w:rPr>
        <w:t xml:space="preserve"> reviewed </w:t>
      </w:r>
      <w:r w:rsidR="00645098">
        <w:rPr>
          <w:rFonts w:ascii="Arial" w:hAnsi="Arial" w:cs="Arial"/>
        </w:rPr>
        <w:t>a</w:t>
      </w:r>
      <w:r w:rsidR="00B3120E">
        <w:rPr>
          <w:rFonts w:ascii="Arial" w:hAnsi="Arial" w:cs="Arial"/>
        </w:rPr>
        <w:t>s</w:t>
      </w:r>
      <w:r w:rsidR="00645098">
        <w:rPr>
          <w:rFonts w:ascii="Arial" w:hAnsi="Arial" w:cs="Arial"/>
        </w:rPr>
        <w:t xml:space="preserve"> part of this </w:t>
      </w:r>
      <w:r w:rsidR="00282173">
        <w:rPr>
          <w:rFonts w:ascii="Arial" w:hAnsi="Arial" w:cs="Arial"/>
        </w:rPr>
        <w:t xml:space="preserve">year’s planning and budget </w:t>
      </w:r>
      <w:r w:rsidR="00645098">
        <w:rPr>
          <w:rFonts w:ascii="Arial" w:hAnsi="Arial" w:cs="Arial"/>
        </w:rPr>
        <w:t>process</w:t>
      </w:r>
      <w:r w:rsidR="00F972B4">
        <w:rPr>
          <w:rFonts w:ascii="Arial" w:hAnsi="Arial" w:cs="Arial"/>
        </w:rPr>
        <w:t>.  Where appropriate</w:t>
      </w:r>
      <w:r w:rsidR="00282173">
        <w:rPr>
          <w:rFonts w:ascii="Arial" w:hAnsi="Arial" w:cs="Arial"/>
        </w:rPr>
        <w:t>,</w:t>
      </w:r>
      <w:r w:rsidR="00F972B4">
        <w:rPr>
          <w:rFonts w:ascii="Arial" w:hAnsi="Arial" w:cs="Arial"/>
        </w:rPr>
        <w:t xml:space="preserve"> funds were </w:t>
      </w:r>
      <w:r w:rsidR="00732554" w:rsidRPr="00732554">
        <w:rPr>
          <w:rFonts w:ascii="Arial" w:hAnsi="Arial" w:cs="Arial"/>
        </w:rPr>
        <w:t xml:space="preserve">transferred from low- to high-priority </w:t>
      </w:r>
      <w:proofErr w:type="spellStart"/>
      <w:r w:rsidR="00732554" w:rsidRPr="00732554">
        <w:rPr>
          <w:rFonts w:ascii="Arial" w:hAnsi="Arial" w:cs="Arial"/>
        </w:rPr>
        <w:t>programmes</w:t>
      </w:r>
      <w:proofErr w:type="spellEnd"/>
      <w:r w:rsidR="00732554" w:rsidRPr="00732554">
        <w:rPr>
          <w:rFonts w:ascii="Arial" w:hAnsi="Arial" w:cs="Arial"/>
        </w:rPr>
        <w:t xml:space="preserve"> </w:t>
      </w:r>
      <w:r w:rsidR="00282173">
        <w:rPr>
          <w:rFonts w:ascii="Arial" w:hAnsi="Arial" w:cs="Arial"/>
        </w:rPr>
        <w:t xml:space="preserve">so as to </w:t>
      </w:r>
      <w:r w:rsidR="00732554" w:rsidRPr="00732554">
        <w:rPr>
          <w:rFonts w:ascii="Arial" w:hAnsi="Arial" w:cs="Arial"/>
        </w:rPr>
        <w:t>maintain sound financial stewardship.</w:t>
      </w:r>
      <w:r w:rsidR="00645098">
        <w:rPr>
          <w:rFonts w:ascii="Arial" w:hAnsi="Arial" w:cs="Arial"/>
        </w:rPr>
        <w:t xml:space="preserve">  A critical review was</w:t>
      </w:r>
      <w:r w:rsidR="00B16917">
        <w:rPr>
          <w:rFonts w:ascii="Arial" w:hAnsi="Arial" w:cs="Arial"/>
        </w:rPr>
        <w:t xml:space="preserve"> also</w:t>
      </w:r>
      <w:r w:rsidR="00645098">
        <w:rPr>
          <w:rFonts w:ascii="Arial" w:hAnsi="Arial" w:cs="Arial"/>
        </w:rPr>
        <w:t xml:space="preserve"> undertaken of expenditure</w:t>
      </w:r>
      <w:r w:rsidR="00F972B4">
        <w:rPr>
          <w:rFonts w:ascii="Arial" w:hAnsi="Arial" w:cs="Arial"/>
        </w:rPr>
        <w:t>s</w:t>
      </w:r>
      <w:r w:rsidR="00645098">
        <w:rPr>
          <w:rFonts w:ascii="Arial" w:hAnsi="Arial" w:cs="Arial"/>
        </w:rPr>
        <w:t xml:space="preserve"> </w:t>
      </w:r>
      <w:r w:rsidR="00F972B4">
        <w:rPr>
          <w:rFonts w:ascii="Arial" w:hAnsi="Arial" w:cs="Arial"/>
        </w:rPr>
        <w:t xml:space="preserve">on </w:t>
      </w:r>
      <w:r w:rsidR="00645098">
        <w:rPr>
          <w:rFonts w:ascii="Arial" w:hAnsi="Arial" w:cs="Arial"/>
        </w:rPr>
        <w:t xml:space="preserve">noncore and </w:t>
      </w:r>
      <w:r w:rsidR="00282173">
        <w:rPr>
          <w:rFonts w:ascii="Arial" w:hAnsi="Arial" w:cs="Arial"/>
        </w:rPr>
        <w:t>‘</w:t>
      </w:r>
      <w:r w:rsidR="00645098">
        <w:rPr>
          <w:rFonts w:ascii="Arial" w:hAnsi="Arial" w:cs="Arial"/>
        </w:rPr>
        <w:t>nice to have</w:t>
      </w:r>
      <w:r w:rsidR="00282173">
        <w:rPr>
          <w:rFonts w:ascii="Arial" w:hAnsi="Arial" w:cs="Arial"/>
        </w:rPr>
        <w:t>’</w:t>
      </w:r>
      <w:r w:rsidR="00645098">
        <w:rPr>
          <w:rFonts w:ascii="Arial" w:hAnsi="Arial" w:cs="Arial"/>
        </w:rPr>
        <w:t xml:space="preserve"> </w:t>
      </w:r>
      <w:r w:rsidR="00F972B4">
        <w:rPr>
          <w:rFonts w:ascii="Arial" w:hAnsi="Arial" w:cs="Arial"/>
        </w:rPr>
        <w:t>items</w:t>
      </w:r>
      <w:r w:rsidR="0090530F">
        <w:rPr>
          <w:rFonts w:ascii="Arial" w:hAnsi="Arial" w:cs="Arial"/>
        </w:rPr>
        <w:t>.</w:t>
      </w:r>
      <w:r w:rsidR="00282173">
        <w:rPr>
          <w:rFonts w:ascii="Arial" w:hAnsi="Arial" w:cs="Arial"/>
        </w:rPr>
        <w:t xml:space="preserve"> </w:t>
      </w:r>
      <w:r w:rsidR="0090530F">
        <w:rPr>
          <w:rFonts w:ascii="Arial" w:hAnsi="Arial" w:cs="Arial"/>
        </w:rPr>
        <w:t xml:space="preserve"> </w:t>
      </w:r>
    </w:p>
    <w:p w:rsidR="00645098" w:rsidRDefault="00645098" w:rsidP="00732554">
      <w:pPr>
        <w:autoSpaceDE w:val="0"/>
        <w:autoSpaceDN w:val="0"/>
        <w:adjustRightInd w:val="0"/>
        <w:spacing w:after="0" w:line="240" w:lineRule="auto"/>
        <w:jc w:val="both"/>
        <w:rPr>
          <w:rFonts w:ascii="Arial" w:hAnsi="Arial" w:cs="Arial"/>
        </w:rPr>
      </w:pPr>
    </w:p>
    <w:p w:rsidR="00732554" w:rsidRPr="00732554" w:rsidRDefault="0090530F" w:rsidP="00732554">
      <w:pPr>
        <w:spacing w:after="0" w:line="240" w:lineRule="auto"/>
        <w:jc w:val="both"/>
        <w:rPr>
          <w:rFonts w:ascii="Arial" w:hAnsi="Arial" w:cs="Arial"/>
        </w:rPr>
      </w:pPr>
      <w:r>
        <w:rPr>
          <w:rFonts w:ascii="Arial" w:hAnsi="Arial" w:cs="Arial"/>
        </w:rPr>
        <w:t>T</w:t>
      </w:r>
      <w:r w:rsidR="00732554" w:rsidRPr="00732554">
        <w:rPr>
          <w:rFonts w:ascii="Arial" w:hAnsi="Arial" w:cs="Arial"/>
        </w:rPr>
        <w:t xml:space="preserve">he </w:t>
      </w:r>
      <w:r w:rsidR="004025C8">
        <w:rPr>
          <w:rFonts w:ascii="Arial" w:hAnsi="Arial" w:cs="Arial"/>
        </w:rPr>
        <w:t>Municipality</w:t>
      </w:r>
      <w:r w:rsidR="00B16917">
        <w:rPr>
          <w:rFonts w:ascii="Arial" w:hAnsi="Arial" w:cs="Arial"/>
        </w:rPr>
        <w:t xml:space="preserve"> </w:t>
      </w:r>
      <w:r w:rsidR="00732554" w:rsidRPr="00732554">
        <w:rPr>
          <w:rFonts w:ascii="Arial" w:hAnsi="Arial" w:cs="Arial"/>
        </w:rPr>
        <w:t xml:space="preserve">has embarked on </w:t>
      </w:r>
      <w:r>
        <w:rPr>
          <w:rFonts w:ascii="Arial" w:hAnsi="Arial" w:cs="Arial"/>
        </w:rPr>
        <w:t xml:space="preserve">implementing a range of revenue </w:t>
      </w:r>
      <w:r w:rsidRPr="00732554">
        <w:rPr>
          <w:rFonts w:ascii="Arial" w:hAnsi="Arial" w:cs="Arial"/>
        </w:rPr>
        <w:t xml:space="preserve">collection strategies </w:t>
      </w:r>
      <w:r w:rsidR="00732554" w:rsidRPr="00732554">
        <w:rPr>
          <w:rFonts w:ascii="Arial" w:hAnsi="Arial" w:cs="Arial"/>
        </w:rPr>
        <w:t xml:space="preserve">to </w:t>
      </w:r>
      <w:r>
        <w:rPr>
          <w:rFonts w:ascii="Arial" w:hAnsi="Arial" w:cs="Arial"/>
        </w:rPr>
        <w:t xml:space="preserve">optimize the </w:t>
      </w:r>
      <w:r w:rsidR="00732554" w:rsidRPr="00732554">
        <w:rPr>
          <w:rFonts w:ascii="Arial" w:hAnsi="Arial" w:cs="Arial"/>
        </w:rPr>
        <w:t>collection of debt owed by consumers</w:t>
      </w:r>
      <w:r w:rsidR="00B16917">
        <w:rPr>
          <w:rFonts w:ascii="Arial" w:hAnsi="Arial" w:cs="Arial"/>
        </w:rPr>
        <w:t>.</w:t>
      </w:r>
      <w:r w:rsidR="00282173">
        <w:rPr>
          <w:rFonts w:ascii="Arial" w:hAnsi="Arial" w:cs="Arial"/>
        </w:rPr>
        <w:t xml:space="preserve"> </w:t>
      </w:r>
      <w:r w:rsidR="004025C8">
        <w:rPr>
          <w:rFonts w:ascii="Arial" w:hAnsi="Arial" w:cs="Arial"/>
        </w:rPr>
        <w:t xml:space="preserve"> Furthermore, the Municipality</w:t>
      </w:r>
      <w:r w:rsidR="00B16917">
        <w:rPr>
          <w:rFonts w:ascii="Arial" w:hAnsi="Arial" w:cs="Arial"/>
        </w:rPr>
        <w:t xml:space="preserve"> has undertaken various customer care initiatives to ensure the </w:t>
      </w:r>
      <w:r w:rsidR="00282173">
        <w:rPr>
          <w:rFonts w:ascii="Arial" w:hAnsi="Arial" w:cs="Arial"/>
        </w:rPr>
        <w:t>m</w:t>
      </w:r>
      <w:r w:rsidR="00B16917">
        <w:rPr>
          <w:rFonts w:ascii="Arial" w:hAnsi="Arial" w:cs="Arial"/>
        </w:rPr>
        <w:t>unicipality truly involves all citizens in the process of ensuring a people lead government.</w:t>
      </w:r>
    </w:p>
    <w:p w:rsidR="00732554" w:rsidRPr="00732554" w:rsidRDefault="00732554" w:rsidP="00732554">
      <w:pPr>
        <w:spacing w:after="0" w:line="240" w:lineRule="auto"/>
        <w:jc w:val="both"/>
        <w:rPr>
          <w:rFonts w:ascii="Arial" w:hAnsi="Arial" w:cs="Arial"/>
          <w:b/>
        </w:rPr>
      </w:pPr>
    </w:p>
    <w:p w:rsidR="00732554" w:rsidRPr="00732554" w:rsidRDefault="00732554" w:rsidP="0073255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732554">
        <w:rPr>
          <w:rFonts w:ascii="Arial" w:hAnsi="Arial" w:cs="Arial"/>
        </w:rPr>
        <w:t>National</w:t>
      </w:r>
      <w:r w:rsidR="004025C8">
        <w:rPr>
          <w:rFonts w:ascii="Arial" w:hAnsi="Arial" w:cs="Arial"/>
        </w:rPr>
        <w:t xml:space="preserve"> </w:t>
      </w:r>
      <w:r w:rsidR="0033043D">
        <w:rPr>
          <w:rFonts w:ascii="Arial" w:hAnsi="Arial" w:cs="Arial"/>
        </w:rPr>
        <w:t xml:space="preserve">Treasury’s MFMA Circular No </w:t>
      </w:r>
      <w:r w:rsidR="004454A3">
        <w:rPr>
          <w:rFonts w:ascii="Arial" w:hAnsi="Arial" w:cs="Arial"/>
        </w:rPr>
        <w:t>93</w:t>
      </w:r>
      <w:r w:rsidR="000B3DE6">
        <w:rPr>
          <w:rFonts w:ascii="Arial" w:hAnsi="Arial" w:cs="Arial"/>
        </w:rPr>
        <w:t xml:space="preserve"> </w:t>
      </w:r>
      <w:r w:rsidR="004454A3">
        <w:rPr>
          <w:rFonts w:ascii="Arial" w:hAnsi="Arial" w:cs="Arial"/>
        </w:rPr>
        <w:t>and 94</w:t>
      </w:r>
      <w:r w:rsidR="00B16917">
        <w:rPr>
          <w:rFonts w:ascii="Arial" w:hAnsi="Arial" w:cs="Arial"/>
        </w:rPr>
        <w:t xml:space="preserve"> </w:t>
      </w:r>
      <w:r w:rsidR="001A5BA6">
        <w:rPr>
          <w:rFonts w:ascii="Arial" w:hAnsi="Arial" w:cs="Arial"/>
        </w:rPr>
        <w:t xml:space="preserve">were used to </w:t>
      </w:r>
      <w:r w:rsidR="00B16917">
        <w:rPr>
          <w:rFonts w:ascii="Arial" w:hAnsi="Arial" w:cs="Arial"/>
        </w:rPr>
        <w:t xml:space="preserve">guide the compilation of the </w:t>
      </w:r>
      <w:r w:rsidR="001143B3">
        <w:rPr>
          <w:rFonts w:ascii="Arial" w:hAnsi="Arial" w:cs="Arial"/>
        </w:rPr>
        <w:t>2018/19</w:t>
      </w:r>
      <w:r w:rsidR="00B16917">
        <w:rPr>
          <w:rFonts w:ascii="Arial" w:hAnsi="Arial" w:cs="Arial"/>
        </w:rPr>
        <w:t xml:space="preserve"> MTREF.</w:t>
      </w:r>
    </w:p>
    <w:p w:rsidR="00732554" w:rsidRPr="00732554" w:rsidRDefault="00732554" w:rsidP="00732554">
      <w:pPr>
        <w:spacing w:after="0" w:line="240" w:lineRule="auto"/>
        <w:ind w:left="993" w:hanging="993"/>
        <w:jc w:val="both"/>
        <w:rPr>
          <w:rFonts w:ascii="Arial" w:hAnsi="Arial" w:cs="Arial"/>
        </w:rPr>
      </w:pPr>
    </w:p>
    <w:p w:rsidR="00732554" w:rsidRPr="00732554" w:rsidRDefault="00732554" w:rsidP="00732554">
      <w:pPr>
        <w:autoSpaceDE w:val="0"/>
        <w:autoSpaceDN w:val="0"/>
        <w:adjustRightInd w:val="0"/>
        <w:spacing w:after="0" w:line="240" w:lineRule="auto"/>
        <w:jc w:val="both"/>
        <w:rPr>
          <w:rFonts w:ascii="Arial" w:hAnsi="Arial" w:cs="Arial"/>
        </w:rPr>
      </w:pPr>
      <w:r w:rsidRPr="00732554">
        <w:rPr>
          <w:rFonts w:ascii="Arial" w:hAnsi="Arial" w:cs="Arial"/>
        </w:rPr>
        <w:t xml:space="preserve">The main challenges experienced during the compilation of the </w:t>
      </w:r>
      <w:r w:rsidR="004454A3">
        <w:rPr>
          <w:rFonts w:ascii="Arial" w:hAnsi="Arial" w:cs="Arial"/>
        </w:rPr>
        <w:t>2019/20</w:t>
      </w:r>
      <w:r w:rsidRPr="00732554">
        <w:rPr>
          <w:rFonts w:ascii="Arial" w:hAnsi="Arial" w:cs="Arial"/>
        </w:rPr>
        <w:t xml:space="preserve"> MTREF can be </w:t>
      </w:r>
      <w:proofErr w:type="spellStart"/>
      <w:r w:rsidRPr="00732554">
        <w:rPr>
          <w:rFonts w:ascii="Arial" w:hAnsi="Arial" w:cs="Arial"/>
        </w:rPr>
        <w:t>summarised</w:t>
      </w:r>
      <w:proofErr w:type="spellEnd"/>
      <w:r w:rsidRPr="00732554">
        <w:rPr>
          <w:rFonts w:ascii="Arial" w:hAnsi="Arial" w:cs="Arial"/>
        </w:rPr>
        <w:t xml:space="preserve"> as follows:</w:t>
      </w:r>
    </w:p>
    <w:p w:rsidR="00732554" w:rsidRPr="00732554" w:rsidRDefault="00732554" w:rsidP="00732554">
      <w:pPr>
        <w:autoSpaceDE w:val="0"/>
        <w:autoSpaceDN w:val="0"/>
        <w:adjustRightInd w:val="0"/>
        <w:spacing w:after="0" w:line="240" w:lineRule="auto"/>
        <w:ind w:left="993"/>
        <w:jc w:val="both"/>
        <w:rPr>
          <w:rFonts w:ascii="Arial" w:hAnsi="Arial" w:cs="Arial"/>
        </w:rPr>
      </w:pPr>
    </w:p>
    <w:p w:rsidR="00732554" w:rsidRPr="00732554" w:rsidRDefault="00282173"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The ongoing difficulties in the national and local economy</w:t>
      </w:r>
      <w:r w:rsidR="00B16917">
        <w:rPr>
          <w:rFonts w:ascii="Arial" w:hAnsi="Arial" w:cs="Arial"/>
        </w:rPr>
        <w:t>;</w:t>
      </w:r>
    </w:p>
    <w:p w:rsidR="00732554" w:rsidRPr="00732554" w:rsidRDefault="004025C8"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Aging and poorly maintained</w:t>
      </w:r>
      <w:r w:rsidR="00B16917">
        <w:rPr>
          <w:rFonts w:ascii="Arial" w:hAnsi="Arial" w:cs="Arial"/>
        </w:rPr>
        <w:t xml:space="preserve"> roads and </w:t>
      </w:r>
      <w:r w:rsidR="00732554" w:rsidRPr="00732554">
        <w:rPr>
          <w:rFonts w:ascii="Arial" w:hAnsi="Arial" w:cs="Arial"/>
        </w:rPr>
        <w:t>electricity infrastructure</w:t>
      </w:r>
      <w:r w:rsidR="00B16917">
        <w:rPr>
          <w:rFonts w:ascii="Arial" w:hAnsi="Arial" w:cs="Arial"/>
        </w:rPr>
        <w:t>;</w:t>
      </w:r>
      <w:r w:rsidR="00732554" w:rsidRPr="00732554">
        <w:rPr>
          <w:rFonts w:ascii="Arial" w:hAnsi="Arial" w:cs="Arial"/>
        </w:rPr>
        <w:t xml:space="preserve"> </w:t>
      </w:r>
    </w:p>
    <w:p w:rsidR="00B16917" w:rsidRDefault="0090530F" w:rsidP="00E50C0E">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 xml:space="preserve">The need to </w:t>
      </w:r>
      <w:proofErr w:type="spellStart"/>
      <w:r>
        <w:rPr>
          <w:rFonts w:ascii="Arial" w:hAnsi="Arial" w:cs="Arial"/>
        </w:rPr>
        <w:t>r</w:t>
      </w:r>
      <w:r w:rsidR="00732554" w:rsidRPr="00B16917">
        <w:rPr>
          <w:rFonts w:ascii="Arial" w:hAnsi="Arial" w:cs="Arial"/>
        </w:rPr>
        <w:t>eprioritis</w:t>
      </w:r>
      <w:r>
        <w:rPr>
          <w:rFonts w:ascii="Arial" w:hAnsi="Arial" w:cs="Arial"/>
        </w:rPr>
        <w:t>e</w:t>
      </w:r>
      <w:proofErr w:type="spellEnd"/>
      <w:r w:rsidR="00732554" w:rsidRPr="00B16917">
        <w:rPr>
          <w:rFonts w:ascii="Arial" w:hAnsi="Arial" w:cs="Arial"/>
        </w:rPr>
        <w:t xml:space="preserve"> projects and expenditure within the existing resource envelope</w:t>
      </w:r>
      <w:r w:rsidR="00B16917" w:rsidRPr="00B16917">
        <w:rPr>
          <w:rFonts w:ascii="Arial" w:hAnsi="Arial" w:cs="Arial"/>
        </w:rPr>
        <w:t xml:space="preserve"> </w:t>
      </w:r>
      <w:r>
        <w:rPr>
          <w:rFonts w:ascii="Arial" w:hAnsi="Arial" w:cs="Arial"/>
        </w:rPr>
        <w:t xml:space="preserve">given </w:t>
      </w:r>
      <w:r w:rsidR="00B16917" w:rsidRPr="00B16917">
        <w:rPr>
          <w:rFonts w:ascii="Arial" w:hAnsi="Arial" w:cs="Arial"/>
        </w:rPr>
        <w:t xml:space="preserve">the cash flow realities and declining cash position of the </w:t>
      </w:r>
      <w:r w:rsidR="00282173">
        <w:rPr>
          <w:rFonts w:ascii="Arial" w:hAnsi="Arial" w:cs="Arial"/>
        </w:rPr>
        <w:t>m</w:t>
      </w:r>
      <w:r w:rsidR="00B16917" w:rsidRPr="00B16917">
        <w:rPr>
          <w:rFonts w:ascii="Arial" w:hAnsi="Arial" w:cs="Arial"/>
        </w:rPr>
        <w:t>unicipality;</w:t>
      </w:r>
    </w:p>
    <w:p w:rsidR="00732554" w:rsidRPr="004025C8" w:rsidRDefault="00282173" w:rsidP="004025C8">
      <w:pPr>
        <w:numPr>
          <w:ilvl w:val="0"/>
          <w:numId w:val="4"/>
        </w:numPr>
        <w:autoSpaceDE w:val="0"/>
        <w:autoSpaceDN w:val="0"/>
        <w:adjustRightInd w:val="0"/>
        <w:spacing w:after="0" w:line="240" w:lineRule="auto"/>
        <w:ind w:hanging="720"/>
        <w:jc w:val="both"/>
        <w:rPr>
          <w:rFonts w:ascii="Arial" w:hAnsi="Arial" w:cs="Arial"/>
        </w:rPr>
      </w:pPr>
      <w:r>
        <w:rPr>
          <w:rFonts w:ascii="Arial" w:hAnsi="Arial" w:cs="Arial"/>
        </w:rPr>
        <w:t xml:space="preserve">The </w:t>
      </w:r>
      <w:r w:rsidR="004025C8">
        <w:rPr>
          <w:rFonts w:ascii="Arial" w:hAnsi="Arial" w:cs="Arial"/>
        </w:rPr>
        <w:t>increased cost of bulk</w:t>
      </w:r>
      <w:r>
        <w:rPr>
          <w:rFonts w:ascii="Arial" w:hAnsi="Arial" w:cs="Arial"/>
        </w:rPr>
        <w:t xml:space="preserve"> electricity </w:t>
      </w:r>
      <w:r w:rsidR="00732554" w:rsidRPr="00B16917">
        <w:rPr>
          <w:rFonts w:ascii="Arial" w:hAnsi="Arial" w:cs="Arial"/>
        </w:rPr>
        <w:t>(</w:t>
      </w:r>
      <w:r>
        <w:rPr>
          <w:rFonts w:ascii="Arial" w:hAnsi="Arial" w:cs="Arial"/>
        </w:rPr>
        <w:t xml:space="preserve">due to </w:t>
      </w:r>
      <w:r w:rsidR="00732554" w:rsidRPr="00B16917">
        <w:rPr>
          <w:rFonts w:ascii="Arial" w:hAnsi="Arial" w:cs="Arial"/>
        </w:rPr>
        <w:t>tari</w:t>
      </w:r>
      <w:r w:rsidR="004025C8">
        <w:rPr>
          <w:rFonts w:ascii="Arial" w:hAnsi="Arial" w:cs="Arial"/>
        </w:rPr>
        <w:t>ff increases from</w:t>
      </w:r>
      <w:r w:rsidR="00732554" w:rsidRPr="00B16917">
        <w:rPr>
          <w:rFonts w:ascii="Arial" w:hAnsi="Arial" w:cs="Arial"/>
        </w:rPr>
        <w:t xml:space="preserve"> Eskom)</w:t>
      </w:r>
      <w:r>
        <w:rPr>
          <w:rFonts w:ascii="Arial" w:hAnsi="Arial" w:cs="Arial"/>
        </w:rPr>
        <w:t xml:space="preserve">, which is placing </w:t>
      </w:r>
      <w:r w:rsidR="00B16917" w:rsidRPr="00B16917">
        <w:rPr>
          <w:rFonts w:ascii="Arial" w:hAnsi="Arial" w:cs="Arial"/>
        </w:rPr>
        <w:t xml:space="preserve">upward pressure on </w:t>
      </w:r>
      <w:r>
        <w:rPr>
          <w:rFonts w:ascii="Arial" w:hAnsi="Arial" w:cs="Arial"/>
        </w:rPr>
        <w:t xml:space="preserve">service tariffs </w:t>
      </w:r>
      <w:r w:rsidR="0090530F">
        <w:rPr>
          <w:rFonts w:ascii="Arial" w:hAnsi="Arial" w:cs="Arial"/>
        </w:rPr>
        <w:t xml:space="preserve">to </w:t>
      </w:r>
      <w:r w:rsidR="00B16917" w:rsidRPr="00732554">
        <w:rPr>
          <w:rFonts w:ascii="Arial" w:hAnsi="Arial" w:cs="Arial"/>
        </w:rPr>
        <w:t>residents</w:t>
      </w:r>
      <w:r w:rsidR="00B16917">
        <w:rPr>
          <w:rFonts w:ascii="Arial" w:hAnsi="Arial" w:cs="Arial"/>
        </w:rPr>
        <w:t>.</w:t>
      </w:r>
      <w:r w:rsidR="00041063" w:rsidRPr="00041063">
        <w:rPr>
          <w:rFonts w:ascii="Arial" w:hAnsi="Arial" w:cs="Arial"/>
        </w:rPr>
        <w:t xml:space="preserve"> </w:t>
      </w:r>
      <w:r w:rsidR="006262FB">
        <w:rPr>
          <w:rFonts w:ascii="Arial" w:hAnsi="Arial" w:cs="Arial"/>
        </w:rPr>
        <w:t xml:space="preserve"> </w:t>
      </w:r>
      <w:r w:rsidR="00041063" w:rsidRPr="00732554">
        <w:rPr>
          <w:rFonts w:ascii="Arial" w:hAnsi="Arial" w:cs="Arial"/>
        </w:rPr>
        <w:t xml:space="preserve">Continuous high tariff increases are not sustainable </w:t>
      </w:r>
      <w:r w:rsidR="001A5BA6">
        <w:rPr>
          <w:rFonts w:ascii="Arial" w:hAnsi="Arial" w:cs="Arial"/>
        </w:rPr>
        <w:t>- as there will be point where services will no-longer be affordable</w:t>
      </w:r>
      <w:r w:rsidR="004454A3">
        <w:rPr>
          <w:rFonts w:ascii="Arial" w:hAnsi="Arial" w:cs="Arial"/>
        </w:rPr>
        <w:t>.</w:t>
      </w:r>
    </w:p>
    <w:p w:rsidR="00041063" w:rsidRDefault="00041063" w:rsidP="0065590C">
      <w:pPr>
        <w:autoSpaceDE w:val="0"/>
        <w:autoSpaceDN w:val="0"/>
        <w:adjustRightInd w:val="0"/>
        <w:spacing w:after="0" w:line="240" w:lineRule="auto"/>
        <w:ind w:left="720"/>
        <w:jc w:val="both"/>
        <w:rPr>
          <w:rFonts w:ascii="Arial" w:hAnsi="Arial" w:cs="Arial"/>
        </w:rPr>
      </w:pPr>
    </w:p>
    <w:p w:rsidR="00732554" w:rsidRPr="00732554" w:rsidRDefault="00732554" w:rsidP="00041063">
      <w:pPr>
        <w:autoSpaceDE w:val="0"/>
        <w:autoSpaceDN w:val="0"/>
        <w:adjustRightInd w:val="0"/>
        <w:spacing w:after="0" w:line="240" w:lineRule="auto"/>
        <w:jc w:val="both"/>
        <w:rPr>
          <w:rFonts w:ascii="Arial" w:hAnsi="Arial" w:cs="Arial"/>
        </w:rPr>
      </w:pPr>
    </w:p>
    <w:p w:rsidR="00732554" w:rsidRPr="00732554" w:rsidRDefault="00732554" w:rsidP="00732554">
      <w:pPr>
        <w:spacing w:after="0" w:line="240" w:lineRule="auto"/>
        <w:jc w:val="both"/>
        <w:rPr>
          <w:rFonts w:ascii="Arial" w:hAnsi="Arial" w:cs="Arial"/>
        </w:rPr>
      </w:pPr>
      <w:r w:rsidRPr="00732554">
        <w:rPr>
          <w:rFonts w:ascii="Arial" w:hAnsi="Arial" w:cs="Arial"/>
        </w:rPr>
        <w:t xml:space="preserve">The following budget principles and guidelines directly informed the compilation of the </w:t>
      </w:r>
      <w:r w:rsidR="004454A3">
        <w:rPr>
          <w:rFonts w:ascii="Arial" w:hAnsi="Arial" w:cs="Arial"/>
        </w:rPr>
        <w:t>2019/20</w:t>
      </w:r>
      <w:r w:rsidRPr="00732554">
        <w:rPr>
          <w:rFonts w:ascii="Arial" w:hAnsi="Arial" w:cs="Arial"/>
        </w:rPr>
        <w:t xml:space="preserve"> MTREF:</w:t>
      </w:r>
    </w:p>
    <w:p w:rsidR="00732554" w:rsidRPr="00732554" w:rsidRDefault="00732554" w:rsidP="00732554">
      <w:pPr>
        <w:spacing w:after="0" w:line="240" w:lineRule="auto"/>
        <w:jc w:val="both"/>
        <w:rPr>
          <w:rFonts w:ascii="Arial" w:hAnsi="Arial" w:cs="Arial"/>
        </w:rPr>
      </w:pPr>
    </w:p>
    <w:p w:rsidR="00732554" w:rsidRPr="00732554" w:rsidRDefault="00C943D1"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The </w:t>
      </w:r>
      <w:r w:rsidR="004454A3">
        <w:rPr>
          <w:rFonts w:ascii="Arial" w:hAnsi="Arial" w:cs="Arial"/>
        </w:rPr>
        <w:t>2018/19</w:t>
      </w:r>
      <w:r w:rsidR="00041063" w:rsidRPr="00041063">
        <w:rPr>
          <w:rFonts w:ascii="Arial" w:hAnsi="Arial" w:cs="Arial"/>
        </w:rPr>
        <w:t xml:space="preserve"> Adjustments Budget </w:t>
      </w:r>
      <w:r w:rsidR="00732554" w:rsidRPr="00041063">
        <w:rPr>
          <w:rFonts w:ascii="Arial" w:hAnsi="Arial" w:cs="Arial"/>
        </w:rPr>
        <w:t>priorities and targets</w:t>
      </w:r>
      <w:r w:rsidR="001A5BA6">
        <w:rPr>
          <w:rFonts w:ascii="Arial" w:hAnsi="Arial" w:cs="Arial"/>
        </w:rPr>
        <w:t>,</w:t>
      </w:r>
      <w:r w:rsidR="00732554" w:rsidRPr="00041063">
        <w:rPr>
          <w:rFonts w:ascii="Arial" w:hAnsi="Arial" w:cs="Arial"/>
        </w:rPr>
        <w:t xml:space="preserve"> as well as the </w:t>
      </w:r>
      <w:r w:rsidR="00041063" w:rsidRPr="00041063">
        <w:rPr>
          <w:rFonts w:ascii="Arial" w:hAnsi="Arial" w:cs="Arial"/>
        </w:rPr>
        <w:t>base line allocations contained in th</w:t>
      </w:r>
      <w:r w:rsidR="006262FB">
        <w:rPr>
          <w:rFonts w:ascii="Arial" w:hAnsi="Arial" w:cs="Arial"/>
        </w:rPr>
        <w:t xml:space="preserve">at </w:t>
      </w:r>
      <w:r w:rsidR="00041063" w:rsidRPr="00041063">
        <w:rPr>
          <w:rFonts w:ascii="Arial" w:hAnsi="Arial" w:cs="Arial"/>
        </w:rPr>
        <w:t xml:space="preserve">Adjustments Budget </w:t>
      </w:r>
      <w:r w:rsidR="00825721">
        <w:rPr>
          <w:rFonts w:ascii="Arial" w:hAnsi="Arial" w:cs="Arial"/>
        </w:rPr>
        <w:t>were adopted as</w:t>
      </w:r>
      <w:r w:rsidR="00041063" w:rsidRPr="00041063">
        <w:rPr>
          <w:rFonts w:ascii="Arial" w:hAnsi="Arial" w:cs="Arial"/>
        </w:rPr>
        <w:t xml:space="preserve"> the upper limits </w:t>
      </w:r>
      <w:r w:rsidR="00825721">
        <w:rPr>
          <w:rFonts w:ascii="Arial" w:hAnsi="Arial" w:cs="Arial"/>
        </w:rPr>
        <w:t>for t</w:t>
      </w:r>
      <w:r w:rsidR="004025C8">
        <w:rPr>
          <w:rFonts w:ascii="Arial" w:hAnsi="Arial" w:cs="Arial"/>
        </w:rPr>
        <w:t xml:space="preserve">he new baselines for the </w:t>
      </w:r>
      <w:r w:rsidR="004454A3">
        <w:rPr>
          <w:rFonts w:ascii="Arial" w:hAnsi="Arial" w:cs="Arial"/>
        </w:rPr>
        <w:t>2019/20</w:t>
      </w:r>
      <w:r w:rsidR="00825721">
        <w:rPr>
          <w:rFonts w:ascii="Arial" w:hAnsi="Arial" w:cs="Arial"/>
        </w:rPr>
        <w:t xml:space="preserve"> </w:t>
      </w:r>
      <w:r w:rsidR="006262FB">
        <w:rPr>
          <w:rFonts w:ascii="Arial" w:hAnsi="Arial" w:cs="Arial"/>
        </w:rPr>
        <w:t xml:space="preserve">annual </w:t>
      </w:r>
      <w:r w:rsidR="00825721">
        <w:rPr>
          <w:rFonts w:ascii="Arial" w:hAnsi="Arial" w:cs="Arial"/>
        </w:rPr>
        <w:t>budget</w:t>
      </w:r>
      <w:r w:rsidR="00041063" w:rsidRPr="00041063">
        <w:rPr>
          <w:rFonts w:ascii="Arial" w:hAnsi="Arial" w:cs="Arial"/>
        </w:rPr>
        <w:t xml:space="preserve">; </w:t>
      </w:r>
    </w:p>
    <w:p w:rsidR="00732554" w:rsidRPr="00041063" w:rsidRDefault="00732554" w:rsidP="00E50C0E">
      <w:pPr>
        <w:numPr>
          <w:ilvl w:val="0"/>
          <w:numId w:val="5"/>
        </w:numPr>
        <w:tabs>
          <w:tab w:val="clear" w:pos="720"/>
        </w:tabs>
        <w:spacing w:after="0" w:line="240" w:lineRule="auto"/>
        <w:ind w:left="709" w:hanging="709"/>
        <w:jc w:val="both"/>
        <w:rPr>
          <w:rFonts w:ascii="Arial" w:hAnsi="Arial" w:cs="Arial"/>
        </w:rPr>
      </w:pPr>
      <w:r w:rsidRPr="00041063">
        <w:rPr>
          <w:rFonts w:ascii="Arial" w:hAnsi="Arial" w:cs="Arial"/>
        </w:rPr>
        <w:t>Intermedia</w:t>
      </w:r>
      <w:r w:rsidR="006262FB">
        <w:rPr>
          <w:rFonts w:ascii="Arial" w:hAnsi="Arial" w:cs="Arial"/>
        </w:rPr>
        <w:t xml:space="preserve">te </w:t>
      </w:r>
      <w:r w:rsidRPr="00041063">
        <w:rPr>
          <w:rFonts w:ascii="Arial" w:hAnsi="Arial" w:cs="Arial"/>
        </w:rPr>
        <w:t>ser</w:t>
      </w:r>
      <w:r w:rsidR="00825721">
        <w:rPr>
          <w:rFonts w:ascii="Arial" w:hAnsi="Arial" w:cs="Arial"/>
        </w:rPr>
        <w:t xml:space="preserve">vice level standards </w:t>
      </w:r>
      <w:r w:rsidR="006262FB">
        <w:rPr>
          <w:rFonts w:ascii="Arial" w:hAnsi="Arial" w:cs="Arial"/>
        </w:rPr>
        <w:t>were</w:t>
      </w:r>
      <w:r w:rsidR="00825721">
        <w:rPr>
          <w:rFonts w:ascii="Arial" w:hAnsi="Arial" w:cs="Arial"/>
        </w:rPr>
        <w:t xml:space="preserve"> used </w:t>
      </w:r>
      <w:r w:rsidRPr="00041063">
        <w:rPr>
          <w:rFonts w:ascii="Arial" w:hAnsi="Arial" w:cs="Arial"/>
        </w:rPr>
        <w:t>to inform the measurable objectives, targets and backlog eradication goals</w:t>
      </w:r>
      <w:r w:rsidR="00041063" w:rsidRPr="00041063">
        <w:rPr>
          <w:rFonts w:ascii="Arial" w:hAnsi="Arial" w:cs="Arial"/>
        </w:rPr>
        <w:t>;</w:t>
      </w:r>
    </w:p>
    <w:p w:rsidR="00732554" w:rsidRPr="004025C8" w:rsidRDefault="00732554" w:rsidP="004025C8">
      <w:pPr>
        <w:numPr>
          <w:ilvl w:val="0"/>
          <w:numId w:val="5"/>
        </w:numPr>
        <w:tabs>
          <w:tab w:val="clear" w:pos="720"/>
        </w:tabs>
        <w:spacing w:after="0" w:line="240" w:lineRule="auto"/>
        <w:ind w:hanging="720"/>
        <w:jc w:val="both"/>
        <w:rPr>
          <w:rFonts w:ascii="Arial" w:hAnsi="Arial" w:cs="Arial"/>
        </w:rPr>
      </w:pPr>
      <w:r w:rsidRPr="00041063">
        <w:rPr>
          <w:rFonts w:ascii="Arial" w:hAnsi="Arial" w:cs="Arial"/>
        </w:rPr>
        <w:t xml:space="preserve">Tariff and </w:t>
      </w:r>
      <w:r w:rsidR="00041063" w:rsidRPr="00041063">
        <w:rPr>
          <w:rFonts w:ascii="Arial" w:hAnsi="Arial" w:cs="Arial"/>
        </w:rPr>
        <w:t>p</w:t>
      </w:r>
      <w:r w:rsidRPr="00041063">
        <w:rPr>
          <w:rFonts w:ascii="Arial" w:hAnsi="Arial" w:cs="Arial"/>
        </w:rPr>
        <w:t xml:space="preserve">roperty </w:t>
      </w:r>
      <w:r w:rsidR="00041063" w:rsidRPr="00041063">
        <w:rPr>
          <w:rFonts w:ascii="Arial" w:hAnsi="Arial" w:cs="Arial"/>
        </w:rPr>
        <w:t>r</w:t>
      </w:r>
      <w:r w:rsidRPr="00041063">
        <w:rPr>
          <w:rFonts w:ascii="Arial" w:hAnsi="Arial" w:cs="Arial"/>
        </w:rPr>
        <w:t xml:space="preserve">ate increases should be affordable and </w:t>
      </w:r>
      <w:r w:rsidR="00825721">
        <w:rPr>
          <w:rFonts w:ascii="Arial" w:hAnsi="Arial" w:cs="Arial"/>
        </w:rPr>
        <w:t>should generally not exceed inflation as measured by the CPI, except where there are price increases in the inputs of services that are beyond the control of the municipality, for instance the cost of bulk water and electricity.  In addition, tariffs need to remain or move towards being cost reflective, and</w:t>
      </w:r>
      <w:r w:rsidR="00041063" w:rsidRPr="00041063">
        <w:rPr>
          <w:rFonts w:ascii="Arial" w:hAnsi="Arial" w:cs="Arial"/>
        </w:rPr>
        <w:t xml:space="preserve"> should take into account </w:t>
      </w:r>
      <w:r w:rsidRPr="00041063">
        <w:rPr>
          <w:rFonts w:ascii="Arial" w:hAnsi="Arial" w:cs="Arial"/>
        </w:rPr>
        <w:t>the need to address infrastructure backlogs</w:t>
      </w:r>
      <w:r w:rsidR="00041063" w:rsidRPr="00041063">
        <w:rPr>
          <w:rFonts w:ascii="Arial" w:hAnsi="Arial" w:cs="Arial"/>
        </w:rPr>
        <w:t>;</w:t>
      </w:r>
    </w:p>
    <w:p w:rsidR="006262FB" w:rsidRDefault="006262FB" w:rsidP="00E92A24">
      <w:pPr>
        <w:spacing w:after="0" w:line="240" w:lineRule="auto"/>
        <w:jc w:val="both"/>
        <w:rPr>
          <w:rFonts w:ascii="Arial" w:hAnsi="Arial" w:cs="Arial"/>
        </w:rPr>
      </w:pPr>
    </w:p>
    <w:p w:rsidR="00E92A24" w:rsidRDefault="00633724" w:rsidP="00E92A24">
      <w:pPr>
        <w:spacing w:after="0" w:line="240" w:lineRule="auto"/>
        <w:jc w:val="both"/>
        <w:rPr>
          <w:rFonts w:ascii="Arial" w:hAnsi="Arial" w:cs="Arial"/>
        </w:rPr>
      </w:pPr>
      <w:r>
        <w:rPr>
          <w:rFonts w:ascii="Arial" w:hAnsi="Arial" w:cs="Arial"/>
        </w:rPr>
        <w:t>In view of the aforementioned, the following</w:t>
      </w:r>
      <w:r w:rsidR="00FB7FDD">
        <w:rPr>
          <w:rFonts w:ascii="Arial" w:hAnsi="Arial" w:cs="Arial"/>
        </w:rPr>
        <w:t xml:space="preserve"> table</w:t>
      </w:r>
      <w:r>
        <w:rPr>
          <w:rFonts w:ascii="Arial" w:hAnsi="Arial" w:cs="Arial"/>
        </w:rPr>
        <w:t xml:space="preserve"> is a </w:t>
      </w:r>
      <w:r w:rsidR="00A22A2C">
        <w:rPr>
          <w:rFonts w:ascii="Arial" w:hAnsi="Arial" w:cs="Arial"/>
        </w:rPr>
        <w:t xml:space="preserve">consolidated overview </w:t>
      </w:r>
      <w:r w:rsidR="004025C8">
        <w:rPr>
          <w:rFonts w:ascii="Arial" w:hAnsi="Arial" w:cs="Arial"/>
        </w:rPr>
        <w:t xml:space="preserve">of the proposed </w:t>
      </w:r>
      <w:r w:rsidR="001143B3">
        <w:rPr>
          <w:rFonts w:ascii="Arial" w:hAnsi="Arial" w:cs="Arial"/>
        </w:rPr>
        <w:t>2018/19</w:t>
      </w:r>
      <w:r>
        <w:rPr>
          <w:rFonts w:ascii="Arial" w:hAnsi="Arial" w:cs="Arial"/>
        </w:rPr>
        <w:t xml:space="preserve"> Medium-term Revenue and Expenditure Framework</w:t>
      </w:r>
      <w:r w:rsidR="00FB7FDD">
        <w:rPr>
          <w:rFonts w:ascii="Arial" w:hAnsi="Arial" w:cs="Arial"/>
        </w:rPr>
        <w:t>:</w:t>
      </w:r>
    </w:p>
    <w:p w:rsidR="00E92A24" w:rsidRDefault="00E92A24" w:rsidP="00E92A24">
      <w:pPr>
        <w:spacing w:after="0" w:line="240" w:lineRule="auto"/>
        <w:jc w:val="both"/>
        <w:rPr>
          <w:rFonts w:ascii="Arial" w:hAnsi="Arial" w:cs="Arial"/>
        </w:rPr>
      </w:pPr>
    </w:p>
    <w:p w:rsidR="001A5BA6" w:rsidRPr="00AE6255" w:rsidRDefault="001A5BA6" w:rsidP="001A5BA6">
      <w:pPr>
        <w:pStyle w:val="Caption"/>
        <w:keepNext/>
        <w:rPr>
          <w:szCs w:val="22"/>
        </w:rPr>
      </w:pPr>
      <w:bookmarkStart w:id="29" w:name="_Toc287342442"/>
      <w:r w:rsidRPr="00AE6255">
        <w:rPr>
          <w:szCs w:val="22"/>
        </w:rPr>
        <w:t xml:space="preserve">Table </w:t>
      </w:r>
      <w:r w:rsidR="00951EB5" w:rsidRPr="00AE6255">
        <w:rPr>
          <w:szCs w:val="22"/>
        </w:rPr>
        <w:fldChar w:fldCharType="begin"/>
      </w:r>
      <w:r w:rsidRPr="00AE6255">
        <w:rPr>
          <w:szCs w:val="22"/>
        </w:rPr>
        <w:instrText xml:space="preserve"> SEQ Table \* ARABIC </w:instrText>
      </w:r>
      <w:r w:rsidR="00951EB5" w:rsidRPr="00AE6255">
        <w:rPr>
          <w:szCs w:val="22"/>
        </w:rPr>
        <w:fldChar w:fldCharType="separate"/>
      </w:r>
      <w:r w:rsidR="00FB5E13">
        <w:rPr>
          <w:noProof/>
          <w:szCs w:val="22"/>
        </w:rPr>
        <w:t>1</w:t>
      </w:r>
      <w:r w:rsidR="00951EB5" w:rsidRPr="00AE6255">
        <w:rPr>
          <w:szCs w:val="22"/>
        </w:rPr>
        <w:fldChar w:fldCharType="end"/>
      </w:r>
      <w:r w:rsidRPr="00AE6255">
        <w:rPr>
          <w:szCs w:val="22"/>
        </w:rPr>
        <w:t xml:space="preserve"> </w:t>
      </w:r>
      <w:r w:rsidRPr="00AE6255">
        <w:rPr>
          <w:rFonts w:cs="Arial"/>
          <w:szCs w:val="22"/>
        </w:rPr>
        <w:t xml:space="preserve"> C</w:t>
      </w:r>
      <w:r w:rsidR="00BE077D">
        <w:rPr>
          <w:rFonts w:cs="Arial"/>
          <w:szCs w:val="22"/>
        </w:rPr>
        <w:t>ons</w:t>
      </w:r>
      <w:r w:rsidR="00DF6ACB">
        <w:rPr>
          <w:rFonts w:cs="Arial"/>
          <w:szCs w:val="22"/>
        </w:rPr>
        <w:t xml:space="preserve">olidated Overview of the </w:t>
      </w:r>
      <w:r w:rsidR="001143B3">
        <w:rPr>
          <w:rFonts w:cs="Arial"/>
          <w:szCs w:val="22"/>
        </w:rPr>
        <w:t>2018/19</w:t>
      </w:r>
      <w:r w:rsidRPr="00AE6255">
        <w:rPr>
          <w:rFonts w:cs="Arial"/>
          <w:szCs w:val="22"/>
        </w:rPr>
        <w:t xml:space="preserve"> MTREF</w:t>
      </w:r>
      <w:bookmarkEnd w:id="29"/>
    </w:p>
    <w:p w:rsidR="00E92A24" w:rsidRDefault="004454A3" w:rsidP="00E92A24">
      <w:pPr>
        <w:spacing w:after="0" w:line="240" w:lineRule="auto"/>
        <w:jc w:val="both"/>
        <w:rPr>
          <w:rFonts w:ascii="Arial" w:hAnsi="Arial" w:cs="Arial"/>
        </w:rPr>
      </w:pPr>
      <w:r w:rsidRPr="004454A3">
        <w:drawing>
          <wp:inline distT="0" distB="0" distL="0" distR="0">
            <wp:extent cx="581025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2076450"/>
                    </a:xfrm>
                    <a:prstGeom prst="rect">
                      <a:avLst/>
                    </a:prstGeom>
                    <a:noFill/>
                    <a:ln>
                      <a:noFill/>
                    </a:ln>
                  </pic:spPr>
                </pic:pic>
              </a:graphicData>
            </a:graphic>
          </wp:inline>
        </w:drawing>
      </w:r>
    </w:p>
    <w:p w:rsidR="00FB7FDD" w:rsidRDefault="00FB7FDD" w:rsidP="00E92A24">
      <w:pPr>
        <w:spacing w:after="0" w:line="240" w:lineRule="auto"/>
        <w:jc w:val="both"/>
        <w:rPr>
          <w:rFonts w:ascii="Arial" w:hAnsi="Arial" w:cs="Arial"/>
          <w:i/>
        </w:rPr>
      </w:pPr>
    </w:p>
    <w:p w:rsidR="0083224D" w:rsidRDefault="00E92A24" w:rsidP="00E92A24">
      <w:pPr>
        <w:spacing w:after="0" w:line="240" w:lineRule="auto"/>
        <w:jc w:val="both"/>
        <w:rPr>
          <w:rFonts w:ascii="Arial" w:hAnsi="Arial" w:cs="Arial"/>
        </w:rPr>
      </w:pPr>
      <w:r>
        <w:rPr>
          <w:rFonts w:ascii="Arial" w:hAnsi="Arial" w:cs="Arial"/>
        </w:rPr>
        <w:t>Total oper</w:t>
      </w:r>
      <w:r w:rsidR="004454A3">
        <w:rPr>
          <w:rFonts w:ascii="Arial" w:hAnsi="Arial" w:cs="Arial"/>
        </w:rPr>
        <w:t>ating revenue equals to R566</w:t>
      </w:r>
      <w:r w:rsidR="004025C8">
        <w:rPr>
          <w:rFonts w:ascii="Arial" w:hAnsi="Arial" w:cs="Arial"/>
        </w:rPr>
        <w:t xml:space="preserve"> million for the </w:t>
      </w:r>
      <w:r w:rsidR="004454A3">
        <w:rPr>
          <w:rFonts w:ascii="Arial" w:hAnsi="Arial" w:cs="Arial"/>
        </w:rPr>
        <w:t>2019/20</w:t>
      </w:r>
      <w:r>
        <w:rPr>
          <w:rFonts w:ascii="Arial" w:hAnsi="Arial" w:cs="Arial"/>
        </w:rPr>
        <w:t xml:space="preserve"> financial y</w:t>
      </w:r>
      <w:r w:rsidR="004454A3">
        <w:rPr>
          <w:rFonts w:ascii="Arial" w:hAnsi="Arial" w:cs="Arial"/>
        </w:rPr>
        <w:t>ear, R597</w:t>
      </w:r>
      <w:r w:rsidR="000F15FA">
        <w:rPr>
          <w:rFonts w:ascii="Arial" w:hAnsi="Arial" w:cs="Arial"/>
        </w:rPr>
        <w:t xml:space="preserve"> million and R6</w:t>
      </w:r>
      <w:r w:rsidR="004454A3">
        <w:rPr>
          <w:rFonts w:ascii="Arial" w:hAnsi="Arial" w:cs="Arial"/>
        </w:rPr>
        <w:t>33</w:t>
      </w:r>
      <w:r w:rsidR="00FB5E13">
        <w:rPr>
          <w:rFonts w:ascii="Arial" w:hAnsi="Arial" w:cs="Arial"/>
        </w:rPr>
        <w:t xml:space="preserve"> million for the outer years</w:t>
      </w:r>
      <w:r>
        <w:rPr>
          <w:rFonts w:ascii="Arial" w:hAnsi="Arial" w:cs="Arial"/>
        </w:rPr>
        <w:t xml:space="preserve">. </w:t>
      </w:r>
      <w:r w:rsidR="006262FB">
        <w:rPr>
          <w:rFonts w:ascii="Arial" w:hAnsi="Arial" w:cs="Arial"/>
        </w:rPr>
        <w:t xml:space="preserve"> </w:t>
      </w:r>
      <w:r>
        <w:rPr>
          <w:rFonts w:ascii="Arial" w:hAnsi="Arial" w:cs="Arial"/>
        </w:rPr>
        <w:t>For the two outer years, operationa</w:t>
      </w:r>
      <w:r w:rsidR="004454A3">
        <w:rPr>
          <w:rFonts w:ascii="Arial" w:hAnsi="Arial" w:cs="Arial"/>
        </w:rPr>
        <w:t>l revenue will increase by 5.47</w:t>
      </w:r>
      <w:r w:rsidR="00484EE2">
        <w:rPr>
          <w:rFonts w:ascii="Arial" w:hAnsi="Arial" w:cs="Arial"/>
        </w:rPr>
        <w:t xml:space="preserve"> and 6</w:t>
      </w:r>
      <w:r w:rsidR="004454A3">
        <w:rPr>
          <w:rFonts w:ascii="Arial" w:hAnsi="Arial" w:cs="Arial"/>
        </w:rPr>
        <w:t>.03</w:t>
      </w:r>
      <w:r>
        <w:rPr>
          <w:rFonts w:ascii="Arial" w:hAnsi="Arial" w:cs="Arial"/>
        </w:rPr>
        <w:t xml:space="preserve"> per cent respectively, equating</w:t>
      </w:r>
      <w:r w:rsidR="002A7E3B">
        <w:rPr>
          <w:rFonts w:ascii="Arial" w:hAnsi="Arial" w:cs="Arial"/>
        </w:rPr>
        <w:t xml:space="preserve"> to</w:t>
      </w:r>
      <w:r w:rsidR="004454A3">
        <w:rPr>
          <w:rFonts w:ascii="Arial" w:hAnsi="Arial" w:cs="Arial"/>
        </w:rPr>
        <w:t xml:space="preserve"> a total revenue growth of R31</w:t>
      </w:r>
      <w:r w:rsidR="002A7E3B">
        <w:rPr>
          <w:rFonts w:ascii="Arial" w:hAnsi="Arial" w:cs="Arial"/>
        </w:rPr>
        <w:t xml:space="preserve"> million</w:t>
      </w:r>
      <w:r>
        <w:rPr>
          <w:rFonts w:ascii="Arial" w:hAnsi="Arial" w:cs="Arial"/>
        </w:rPr>
        <w:t xml:space="preserve"> over the MT</w:t>
      </w:r>
      <w:r w:rsidR="004454A3">
        <w:rPr>
          <w:rFonts w:ascii="Arial" w:hAnsi="Arial" w:cs="Arial"/>
        </w:rPr>
        <w:t>REF when compared to the 2019/20</w:t>
      </w:r>
      <w:r>
        <w:rPr>
          <w:rFonts w:ascii="Arial" w:hAnsi="Arial" w:cs="Arial"/>
        </w:rPr>
        <w:t xml:space="preserve"> financial year.</w:t>
      </w:r>
      <w:r w:rsidR="00904C95">
        <w:rPr>
          <w:rFonts w:ascii="Arial" w:hAnsi="Arial" w:cs="Arial"/>
        </w:rPr>
        <w:t xml:space="preserve">  </w:t>
      </w:r>
    </w:p>
    <w:p w:rsidR="0083224D" w:rsidRDefault="0083224D" w:rsidP="00E92A24">
      <w:pPr>
        <w:spacing w:after="0" w:line="240" w:lineRule="auto"/>
        <w:jc w:val="both"/>
        <w:rPr>
          <w:rFonts w:ascii="Arial" w:hAnsi="Arial" w:cs="Arial"/>
        </w:rPr>
      </w:pPr>
    </w:p>
    <w:p w:rsidR="0083224D" w:rsidRDefault="00904C95" w:rsidP="00E92A24">
      <w:pPr>
        <w:spacing w:after="0" w:line="240" w:lineRule="auto"/>
        <w:jc w:val="both"/>
        <w:rPr>
          <w:rFonts w:ascii="Arial" w:hAnsi="Arial" w:cs="Arial"/>
        </w:rPr>
      </w:pPr>
      <w:r>
        <w:rPr>
          <w:rFonts w:ascii="Arial" w:hAnsi="Arial" w:cs="Arial"/>
        </w:rPr>
        <w:t>Total opera</w:t>
      </w:r>
      <w:r w:rsidR="002A7E3B">
        <w:rPr>
          <w:rFonts w:ascii="Arial" w:hAnsi="Arial" w:cs="Arial"/>
        </w:rPr>
        <w:t xml:space="preserve">ting expenditure for the </w:t>
      </w:r>
      <w:r w:rsidR="004454A3">
        <w:rPr>
          <w:rFonts w:ascii="Arial" w:hAnsi="Arial" w:cs="Arial"/>
        </w:rPr>
        <w:t>2019/20</w:t>
      </w:r>
      <w:r>
        <w:rPr>
          <w:rFonts w:ascii="Arial" w:hAnsi="Arial" w:cs="Arial"/>
        </w:rPr>
        <w:t xml:space="preserve"> financial year has</w:t>
      </w:r>
      <w:r w:rsidR="000E2D51">
        <w:rPr>
          <w:rFonts w:ascii="Arial" w:hAnsi="Arial" w:cs="Arial"/>
        </w:rPr>
        <w:t xml:space="preserve"> been</w:t>
      </w:r>
      <w:r w:rsidR="00A84A8B">
        <w:rPr>
          <w:rFonts w:ascii="Arial" w:hAnsi="Arial" w:cs="Arial"/>
        </w:rPr>
        <w:t xml:space="preserve"> appro</w:t>
      </w:r>
      <w:r w:rsidR="004454A3">
        <w:rPr>
          <w:rFonts w:ascii="Arial" w:hAnsi="Arial" w:cs="Arial"/>
        </w:rPr>
        <w:t>priated at R552</w:t>
      </w:r>
      <w:r w:rsidR="002A7E3B">
        <w:rPr>
          <w:rFonts w:ascii="Arial" w:hAnsi="Arial" w:cs="Arial"/>
        </w:rPr>
        <w:t xml:space="preserve"> million</w:t>
      </w:r>
      <w:r>
        <w:rPr>
          <w:rFonts w:ascii="Arial" w:hAnsi="Arial" w:cs="Arial"/>
        </w:rPr>
        <w:t xml:space="preserve"> and tr</w:t>
      </w:r>
      <w:r w:rsidR="002A7E3B">
        <w:rPr>
          <w:rFonts w:ascii="Arial" w:hAnsi="Arial" w:cs="Arial"/>
        </w:rPr>
        <w:t xml:space="preserve">anslates </w:t>
      </w:r>
      <w:r w:rsidR="00537CA2">
        <w:rPr>
          <w:rFonts w:ascii="Arial" w:hAnsi="Arial" w:cs="Arial"/>
        </w:rPr>
        <w:t>in</w:t>
      </w:r>
      <w:r w:rsidR="004454A3">
        <w:rPr>
          <w:rFonts w:ascii="Arial" w:hAnsi="Arial" w:cs="Arial"/>
        </w:rPr>
        <w:t>to a budgeted surplus of R13.7</w:t>
      </w:r>
      <w:r>
        <w:rPr>
          <w:rFonts w:ascii="Arial" w:hAnsi="Arial" w:cs="Arial"/>
        </w:rPr>
        <w:t xml:space="preserve"> milli</w:t>
      </w:r>
      <w:r w:rsidR="00D25AEC">
        <w:rPr>
          <w:rFonts w:ascii="Arial" w:hAnsi="Arial" w:cs="Arial"/>
        </w:rPr>
        <w:t>on.</w:t>
      </w:r>
      <w:r w:rsidR="000F15FA">
        <w:rPr>
          <w:rFonts w:ascii="Arial" w:hAnsi="Arial" w:cs="Arial"/>
        </w:rPr>
        <w:t xml:space="preserve"> The operating surplus</w:t>
      </w:r>
      <w:r w:rsidR="0083224D">
        <w:rPr>
          <w:rFonts w:ascii="Arial" w:hAnsi="Arial" w:cs="Arial"/>
        </w:rPr>
        <w:t xml:space="preserve"> for the tw</w:t>
      </w:r>
      <w:r w:rsidR="00AD3123">
        <w:rPr>
          <w:rFonts w:ascii="Arial" w:hAnsi="Arial" w:cs="Arial"/>
        </w:rPr>
        <w:t>o outer years steadily increases</w:t>
      </w:r>
      <w:r w:rsidR="0083224D">
        <w:rPr>
          <w:rFonts w:ascii="Arial" w:hAnsi="Arial" w:cs="Arial"/>
        </w:rPr>
        <w:t xml:space="preserve"> to R</w:t>
      </w:r>
      <w:r w:rsidR="004454A3">
        <w:rPr>
          <w:rFonts w:ascii="Arial" w:hAnsi="Arial" w:cs="Arial"/>
        </w:rPr>
        <w:t>21</w:t>
      </w:r>
      <w:r w:rsidR="0083224D">
        <w:rPr>
          <w:rFonts w:ascii="Arial" w:hAnsi="Arial" w:cs="Arial"/>
        </w:rPr>
        <w:t xml:space="preserve"> million and </w:t>
      </w:r>
      <w:r w:rsidR="002A7E3B">
        <w:rPr>
          <w:rFonts w:ascii="Arial" w:hAnsi="Arial" w:cs="Arial"/>
        </w:rPr>
        <w:t>th</w:t>
      </w:r>
      <w:r w:rsidR="004454A3">
        <w:rPr>
          <w:rFonts w:ascii="Arial" w:hAnsi="Arial" w:cs="Arial"/>
        </w:rPr>
        <w:t>en at R29</w:t>
      </w:r>
      <w:r w:rsidR="002A7E3B">
        <w:rPr>
          <w:rFonts w:ascii="Arial" w:hAnsi="Arial" w:cs="Arial"/>
        </w:rPr>
        <w:t xml:space="preserve"> million.</w:t>
      </w:r>
    </w:p>
    <w:p w:rsidR="0083224D" w:rsidRDefault="0083224D" w:rsidP="00E92A24">
      <w:pPr>
        <w:spacing w:after="0" w:line="240" w:lineRule="auto"/>
        <w:jc w:val="both"/>
        <w:rPr>
          <w:rFonts w:ascii="Arial" w:hAnsi="Arial" w:cs="Arial"/>
        </w:rPr>
      </w:pPr>
    </w:p>
    <w:p w:rsidR="00FC31B1" w:rsidRDefault="0083224D" w:rsidP="00FC31B1">
      <w:pPr>
        <w:spacing w:after="0" w:line="240" w:lineRule="auto"/>
        <w:jc w:val="both"/>
        <w:rPr>
          <w:rFonts w:ascii="Arial" w:hAnsi="Arial" w:cs="Arial"/>
        </w:rPr>
      </w:pPr>
      <w:r>
        <w:rPr>
          <w:rFonts w:ascii="Arial" w:hAnsi="Arial" w:cs="Arial"/>
        </w:rPr>
        <w:t>The capital</w:t>
      </w:r>
      <w:r w:rsidR="002424D3">
        <w:rPr>
          <w:rFonts w:ascii="Arial" w:hAnsi="Arial" w:cs="Arial"/>
        </w:rPr>
        <w:t xml:space="preserve"> </w:t>
      </w:r>
      <w:r>
        <w:rPr>
          <w:rFonts w:ascii="Arial" w:hAnsi="Arial" w:cs="Arial"/>
        </w:rPr>
        <w:t xml:space="preserve">budget </w:t>
      </w:r>
      <w:r w:rsidR="004454A3">
        <w:rPr>
          <w:rFonts w:ascii="Arial" w:hAnsi="Arial" w:cs="Arial"/>
        </w:rPr>
        <w:t>of R44.6</w:t>
      </w:r>
      <w:r w:rsidR="002A7E3B">
        <w:rPr>
          <w:rFonts w:ascii="Arial" w:hAnsi="Arial" w:cs="Arial"/>
        </w:rPr>
        <w:t xml:space="preserve"> million for </w:t>
      </w:r>
      <w:r w:rsidR="004454A3">
        <w:rPr>
          <w:rFonts w:ascii="Arial" w:hAnsi="Arial" w:cs="Arial"/>
        </w:rPr>
        <w:t>2019/20</w:t>
      </w:r>
      <w:r w:rsidR="00D25AEC">
        <w:rPr>
          <w:rFonts w:ascii="Arial" w:hAnsi="Arial" w:cs="Arial"/>
        </w:rPr>
        <w:t>.</w:t>
      </w:r>
      <w:r>
        <w:rPr>
          <w:rFonts w:ascii="Arial" w:hAnsi="Arial" w:cs="Arial"/>
        </w:rPr>
        <w:t xml:space="preserve"> </w:t>
      </w:r>
      <w:r w:rsidR="00E661CF">
        <w:rPr>
          <w:rFonts w:ascii="Arial" w:hAnsi="Arial" w:cs="Arial"/>
        </w:rPr>
        <w:t xml:space="preserve"> </w:t>
      </w:r>
    </w:p>
    <w:p w:rsidR="002424D3" w:rsidRDefault="002424D3" w:rsidP="00FC31B1">
      <w:pPr>
        <w:spacing w:after="0" w:line="240" w:lineRule="auto"/>
        <w:jc w:val="both"/>
        <w:rPr>
          <w:rFonts w:ascii="Arial" w:hAnsi="Arial" w:cs="Arial"/>
        </w:rPr>
      </w:pPr>
    </w:p>
    <w:p w:rsidR="00D81FBC" w:rsidRDefault="00D81FBC" w:rsidP="00FC31B1">
      <w:pPr>
        <w:spacing w:after="0" w:line="240" w:lineRule="auto"/>
        <w:jc w:val="both"/>
        <w:rPr>
          <w:rFonts w:ascii="Arial" w:hAnsi="Arial" w:cs="Arial"/>
        </w:rPr>
      </w:pPr>
    </w:p>
    <w:p w:rsidR="00D81FBC" w:rsidRPr="00943970" w:rsidRDefault="00D81FBC" w:rsidP="00C8149B">
      <w:pPr>
        <w:pStyle w:val="Heading2"/>
        <w:rPr>
          <w:rFonts w:ascii="Arial" w:hAnsi="Arial" w:cs="Arial"/>
          <w:color w:val="auto"/>
        </w:rPr>
      </w:pPr>
      <w:bookmarkStart w:id="30" w:name="_Toc286034093"/>
      <w:bookmarkStart w:id="31" w:name="_Toc286034684"/>
      <w:bookmarkStart w:id="32" w:name="_Toc286041435"/>
      <w:bookmarkStart w:id="33" w:name="_Toc286041504"/>
      <w:bookmarkStart w:id="34" w:name="_Toc286117314"/>
      <w:bookmarkStart w:id="35" w:name="_Toc287342525"/>
      <w:r w:rsidRPr="00943970">
        <w:rPr>
          <w:rFonts w:ascii="Arial" w:hAnsi="Arial" w:cs="Arial"/>
          <w:color w:val="auto"/>
        </w:rPr>
        <w:t>Operating Revenue Framework</w:t>
      </w:r>
      <w:bookmarkEnd w:id="30"/>
      <w:bookmarkEnd w:id="31"/>
      <w:bookmarkEnd w:id="32"/>
      <w:bookmarkEnd w:id="33"/>
      <w:bookmarkEnd w:id="34"/>
      <w:bookmarkEnd w:id="35"/>
    </w:p>
    <w:p w:rsidR="00D81FBC" w:rsidRPr="00D81FBC" w:rsidRDefault="00D81FBC" w:rsidP="00D81FBC">
      <w:pPr>
        <w:pStyle w:val="Paragraph"/>
        <w:tabs>
          <w:tab w:val="clear" w:pos="284"/>
          <w:tab w:val="clear" w:pos="567"/>
          <w:tab w:val="clear" w:pos="851"/>
        </w:tabs>
        <w:spacing w:after="0" w:line="240" w:lineRule="auto"/>
        <w:rPr>
          <w:rFonts w:ascii="Arial" w:hAnsi="Arial" w:cs="Arial"/>
          <w:szCs w:val="22"/>
        </w:rPr>
      </w:pPr>
    </w:p>
    <w:p w:rsidR="00D81FBC" w:rsidRDefault="00DF6ACB" w:rsidP="00D81FBC">
      <w:pPr>
        <w:spacing w:after="0" w:line="240" w:lineRule="auto"/>
        <w:jc w:val="both"/>
        <w:rPr>
          <w:rFonts w:ascii="Arial" w:hAnsi="Arial" w:cs="Arial"/>
        </w:rPr>
      </w:pPr>
      <w:r>
        <w:rPr>
          <w:rFonts w:ascii="Arial" w:hAnsi="Arial" w:cs="Arial"/>
        </w:rPr>
        <w:t xml:space="preserve">For </w:t>
      </w:r>
      <w:proofErr w:type="spellStart"/>
      <w:r>
        <w:rPr>
          <w:rFonts w:ascii="Arial" w:hAnsi="Arial" w:cs="Arial"/>
        </w:rPr>
        <w:t>Inkosi</w:t>
      </w:r>
      <w:proofErr w:type="spellEnd"/>
      <w:r>
        <w:rPr>
          <w:rFonts w:ascii="Arial" w:hAnsi="Arial" w:cs="Arial"/>
        </w:rPr>
        <w:t xml:space="preserve"> Langalibalele</w:t>
      </w:r>
      <w:r w:rsidR="001B235E">
        <w:rPr>
          <w:rFonts w:ascii="Arial" w:hAnsi="Arial" w:cs="Arial"/>
        </w:rPr>
        <w:t xml:space="preserve"> Municipality</w:t>
      </w:r>
      <w:r w:rsidR="000505DC">
        <w:rPr>
          <w:rFonts w:ascii="Arial" w:hAnsi="Arial" w:cs="Arial"/>
        </w:rPr>
        <w:t xml:space="preserve"> to continue improving the quality of services provide</w:t>
      </w:r>
      <w:r w:rsidR="00FD7343">
        <w:rPr>
          <w:rFonts w:ascii="Arial" w:hAnsi="Arial" w:cs="Arial"/>
        </w:rPr>
        <w:t>d</w:t>
      </w:r>
      <w:r w:rsidR="000505DC">
        <w:rPr>
          <w:rFonts w:ascii="Arial" w:hAnsi="Arial" w:cs="Arial"/>
        </w:rPr>
        <w:t xml:space="preserve"> to its citizens it needs to generate the required revenue.  In these tough economic times strong revenue management is </w:t>
      </w:r>
      <w:r w:rsidR="00D81FBC" w:rsidRPr="009407CB">
        <w:rPr>
          <w:rFonts w:ascii="Arial" w:hAnsi="Arial" w:cs="Arial"/>
        </w:rPr>
        <w:t xml:space="preserve">fundamental to the financial sustainability of every municipality.  The reality is that we are faced with </w:t>
      </w:r>
      <w:r w:rsidR="00D81FBC">
        <w:rPr>
          <w:rFonts w:ascii="Arial" w:hAnsi="Arial" w:cs="Arial"/>
        </w:rPr>
        <w:t xml:space="preserve">development </w:t>
      </w:r>
      <w:r w:rsidR="00D81FBC" w:rsidRPr="009407CB">
        <w:rPr>
          <w:rFonts w:ascii="Arial" w:hAnsi="Arial" w:cs="Arial"/>
        </w:rPr>
        <w:t>backlogs and poverty.</w:t>
      </w:r>
      <w:r w:rsidR="00D81FBC">
        <w:rPr>
          <w:rFonts w:ascii="Arial" w:hAnsi="Arial" w:cs="Arial"/>
        </w:rPr>
        <w:t xml:space="preserve">  The expenditure </w:t>
      </w:r>
      <w:r w:rsidR="00E661CF">
        <w:rPr>
          <w:rFonts w:ascii="Arial" w:hAnsi="Arial" w:cs="Arial"/>
        </w:rPr>
        <w:t xml:space="preserve">required </w:t>
      </w:r>
      <w:r w:rsidR="00D81FBC">
        <w:rPr>
          <w:rFonts w:ascii="Arial" w:hAnsi="Arial" w:cs="Arial"/>
        </w:rPr>
        <w:t xml:space="preserve">to address </w:t>
      </w:r>
      <w:r w:rsidR="00E661CF">
        <w:rPr>
          <w:rFonts w:ascii="Arial" w:hAnsi="Arial" w:cs="Arial"/>
        </w:rPr>
        <w:t xml:space="preserve">these challenges </w:t>
      </w:r>
      <w:r w:rsidR="008F2BA9">
        <w:rPr>
          <w:rFonts w:ascii="Arial" w:hAnsi="Arial" w:cs="Arial"/>
        </w:rPr>
        <w:t xml:space="preserve">will </w:t>
      </w:r>
      <w:r w:rsidR="00D81FBC">
        <w:rPr>
          <w:rFonts w:ascii="Arial" w:hAnsi="Arial" w:cs="Arial"/>
        </w:rPr>
        <w:t>inevitably always</w:t>
      </w:r>
      <w:r w:rsidR="008F2BA9">
        <w:rPr>
          <w:rFonts w:ascii="Arial" w:hAnsi="Arial" w:cs="Arial"/>
        </w:rPr>
        <w:t xml:space="preserve"> exceed a</w:t>
      </w:r>
      <w:r w:rsidR="00D81FBC">
        <w:rPr>
          <w:rFonts w:ascii="Arial" w:hAnsi="Arial" w:cs="Arial"/>
        </w:rPr>
        <w:t xml:space="preserve">vailable </w:t>
      </w:r>
      <w:r w:rsidR="008F2BA9">
        <w:rPr>
          <w:rFonts w:ascii="Arial" w:hAnsi="Arial" w:cs="Arial"/>
        </w:rPr>
        <w:t xml:space="preserve">funding; hence </w:t>
      </w:r>
      <w:r w:rsidR="000505DC">
        <w:rPr>
          <w:rFonts w:ascii="Arial" w:hAnsi="Arial" w:cs="Arial"/>
        </w:rPr>
        <w:t xml:space="preserve">difficult </w:t>
      </w:r>
      <w:r w:rsidR="00D81FBC">
        <w:rPr>
          <w:rFonts w:ascii="Arial" w:hAnsi="Arial" w:cs="Arial"/>
        </w:rPr>
        <w:t>choices have to be made</w:t>
      </w:r>
      <w:r w:rsidR="008F2BA9">
        <w:rPr>
          <w:rFonts w:ascii="Arial" w:hAnsi="Arial" w:cs="Arial"/>
        </w:rPr>
        <w:t xml:space="preserve"> in relation to </w:t>
      </w:r>
      <w:r w:rsidR="00113EA6">
        <w:rPr>
          <w:rFonts w:ascii="Arial" w:hAnsi="Arial" w:cs="Arial"/>
        </w:rPr>
        <w:t xml:space="preserve">tariff increases and balancing </w:t>
      </w:r>
      <w:r w:rsidR="008F2BA9">
        <w:rPr>
          <w:rFonts w:ascii="Arial" w:hAnsi="Arial" w:cs="Arial"/>
        </w:rPr>
        <w:t>expenditure</w:t>
      </w:r>
      <w:r w:rsidR="00113EA6">
        <w:rPr>
          <w:rFonts w:ascii="Arial" w:hAnsi="Arial" w:cs="Arial"/>
        </w:rPr>
        <w:t>s against realistically anticipated revenues</w:t>
      </w:r>
      <w:r w:rsidR="00D81FBC">
        <w:rPr>
          <w:rFonts w:ascii="Arial" w:hAnsi="Arial" w:cs="Arial"/>
        </w:rPr>
        <w:t>.</w:t>
      </w:r>
    </w:p>
    <w:p w:rsidR="00D81FBC" w:rsidRDefault="00D81FBC" w:rsidP="00D81FBC">
      <w:pPr>
        <w:spacing w:after="0" w:line="240" w:lineRule="auto"/>
        <w:jc w:val="both"/>
        <w:rPr>
          <w:rFonts w:ascii="Arial" w:hAnsi="Arial" w:cs="Arial"/>
        </w:rPr>
      </w:pPr>
    </w:p>
    <w:p w:rsidR="00D81FBC" w:rsidRDefault="00D81FBC" w:rsidP="00D81FBC">
      <w:pPr>
        <w:spacing w:after="0" w:line="240" w:lineRule="auto"/>
        <w:jc w:val="both"/>
        <w:rPr>
          <w:rFonts w:ascii="Arial" w:hAnsi="Arial" w:cs="Arial"/>
        </w:rPr>
      </w:pPr>
      <w:r w:rsidRPr="009407CB">
        <w:rPr>
          <w:rFonts w:ascii="Arial" w:hAnsi="Arial" w:cs="Arial"/>
        </w:rPr>
        <w:t xml:space="preserve">The </w:t>
      </w:r>
      <w:r w:rsidR="00113EA6">
        <w:rPr>
          <w:rFonts w:ascii="Arial" w:hAnsi="Arial" w:cs="Arial"/>
        </w:rPr>
        <w:t xml:space="preserve">municipality’s </w:t>
      </w:r>
      <w:r w:rsidRPr="009407CB">
        <w:rPr>
          <w:rFonts w:ascii="Arial" w:hAnsi="Arial" w:cs="Arial"/>
        </w:rPr>
        <w:t xml:space="preserve">revenue strategy is </w:t>
      </w:r>
      <w:r w:rsidR="00113EA6">
        <w:rPr>
          <w:rFonts w:ascii="Arial" w:hAnsi="Arial" w:cs="Arial"/>
        </w:rPr>
        <w:t xml:space="preserve">built around the following </w:t>
      </w:r>
      <w:r w:rsidRPr="009407CB">
        <w:rPr>
          <w:rFonts w:ascii="Arial" w:hAnsi="Arial" w:cs="Arial"/>
        </w:rPr>
        <w:t>key components:</w:t>
      </w:r>
    </w:p>
    <w:p w:rsidR="00E661CF" w:rsidRPr="009407CB" w:rsidRDefault="00E661CF" w:rsidP="00D81FBC">
      <w:pPr>
        <w:spacing w:after="0" w:line="240" w:lineRule="auto"/>
        <w:jc w:val="both"/>
        <w:rPr>
          <w:rFonts w:ascii="Arial" w:hAnsi="Arial" w:cs="Arial"/>
        </w:rPr>
      </w:pPr>
    </w:p>
    <w:p w:rsidR="00113EA6" w:rsidRPr="009407CB" w:rsidRDefault="00113EA6"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National Treasury</w:t>
      </w:r>
      <w:r w:rsidR="00E661CF">
        <w:rPr>
          <w:rFonts w:ascii="Arial" w:hAnsi="Arial" w:cs="Arial"/>
        </w:rPr>
        <w:t>’s</w:t>
      </w:r>
      <w:r w:rsidRPr="009407CB">
        <w:rPr>
          <w:rFonts w:ascii="Arial" w:hAnsi="Arial" w:cs="Arial"/>
        </w:rPr>
        <w:t xml:space="preserve"> guidelines</w:t>
      </w:r>
      <w:r>
        <w:rPr>
          <w:rFonts w:ascii="Arial" w:hAnsi="Arial" w:cs="Arial"/>
        </w:rPr>
        <w:t xml:space="preserve"> and macroeconomic policy;</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 xml:space="preserve">Growth in the </w:t>
      </w:r>
      <w:r w:rsidR="00113EA6">
        <w:rPr>
          <w:rFonts w:ascii="Arial" w:hAnsi="Arial" w:cs="Arial"/>
        </w:rPr>
        <w:t>C</w:t>
      </w:r>
      <w:r w:rsidRPr="009407CB">
        <w:rPr>
          <w:rFonts w:ascii="Arial" w:hAnsi="Arial" w:cs="Arial"/>
        </w:rPr>
        <w:t xml:space="preserve">ity and </w:t>
      </w:r>
      <w:r w:rsidR="00113EA6">
        <w:rPr>
          <w:rFonts w:ascii="Arial" w:hAnsi="Arial" w:cs="Arial"/>
        </w:rPr>
        <w:t xml:space="preserve">continued </w:t>
      </w:r>
      <w:r w:rsidRPr="009407CB">
        <w:rPr>
          <w:rFonts w:ascii="Arial" w:hAnsi="Arial" w:cs="Arial"/>
        </w:rPr>
        <w:t>economic development</w:t>
      </w:r>
      <w:r w:rsidR="00F90D9C">
        <w:rPr>
          <w:rFonts w:ascii="Arial" w:hAnsi="Arial" w:cs="Arial"/>
        </w:rPr>
        <w:t>;</w:t>
      </w:r>
    </w:p>
    <w:p w:rsidR="00D81FBC" w:rsidRPr="00113EA6" w:rsidRDefault="00F90D9C" w:rsidP="00E50C0E">
      <w:pPr>
        <w:numPr>
          <w:ilvl w:val="0"/>
          <w:numId w:val="5"/>
        </w:numPr>
        <w:tabs>
          <w:tab w:val="clear" w:pos="720"/>
        </w:tabs>
        <w:spacing w:after="0" w:line="240" w:lineRule="auto"/>
        <w:ind w:left="709" w:hanging="709"/>
        <w:jc w:val="both"/>
        <w:rPr>
          <w:rFonts w:ascii="Arial" w:hAnsi="Arial" w:cs="Arial"/>
        </w:rPr>
      </w:pPr>
      <w:r w:rsidRPr="00113EA6">
        <w:rPr>
          <w:rFonts w:ascii="Arial" w:hAnsi="Arial" w:cs="Arial"/>
        </w:rPr>
        <w:t>Efficient r</w:t>
      </w:r>
      <w:r w:rsidR="00D81FBC" w:rsidRPr="00113EA6">
        <w:rPr>
          <w:rFonts w:ascii="Arial" w:hAnsi="Arial" w:cs="Arial"/>
        </w:rPr>
        <w:t>evenue</w:t>
      </w:r>
      <w:r w:rsidRPr="00113EA6">
        <w:rPr>
          <w:rFonts w:ascii="Arial" w:hAnsi="Arial" w:cs="Arial"/>
        </w:rPr>
        <w:t xml:space="preserve"> management</w:t>
      </w:r>
      <w:r w:rsidR="00113EA6" w:rsidRPr="00113EA6">
        <w:rPr>
          <w:rFonts w:ascii="Arial" w:hAnsi="Arial" w:cs="Arial"/>
        </w:rPr>
        <w:t>, which aims to ensure a</w:t>
      </w:r>
      <w:r w:rsidR="00D81FBC" w:rsidRPr="00113EA6">
        <w:rPr>
          <w:rFonts w:ascii="Arial" w:hAnsi="Arial" w:cs="Arial"/>
        </w:rPr>
        <w:t xml:space="preserve"> 9</w:t>
      </w:r>
      <w:r w:rsidRPr="00113EA6">
        <w:rPr>
          <w:rFonts w:ascii="Arial" w:hAnsi="Arial" w:cs="Arial"/>
        </w:rPr>
        <w:t>5</w:t>
      </w:r>
      <w:r w:rsidR="00A873A2">
        <w:rPr>
          <w:rFonts w:ascii="Arial" w:hAnsi="Arial" w:cs="Arial"/>
        </w:rPr>
        <w:t xml:space="preserve"> per cent</w:t>
      </w:r>
      <w:r w:rsidR="00D81FBC" w:rsidRPr="00113EA6">
        <w:rPr>
          <w:rFonts w:ascii="Arial" w:hAnsi="Arial" w:cs="Arial"/>
        </w:rPr>
        <w:t xml:space="preserve"> annual colle</w:t>
      </w:r>
      <w:r w:rsidRPr="00113EA6">
        <w:rPr>
          <w:rFonts w:ascii="Arial" w:hAnsi="Arial" w:cs="Arial"/>
        </w:rPr>
        <w:t xml:space="preserve">ction rate for </w:t>
      </w:r>
      <w:r w:rsidR="00113EA6">
        <w:rPr>
          <w:rFonts w:ascii="Arial" w:hAnsi="Arial" w:cs="Arial"/>
        </w:rPr>
        <w:t xml:space="preserve">property </w:t>
      </w:r>
      <w:r w:rsidR="00113EA6" w:rsidRPr="00113EA6">
        <w:rPr>
          <w:rFonts w:ascii="Arial" w:hAnsi="Arial" w:cs="Arial"/>
        </w:rPr>
        <w:t xml:space="preserve">rates and other key </w:t>
      </w:r>
      <w:r w:rsidRPr="00113EA6">
        <w:rPr>
          <w:rFonts w:ascii="Arial" w:hAnsi="Arial" w:cs="Arial"/>
        </w:rPr>
        <w:t>service charges;</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 xml:space="preserve">Electricity tariff increases </w:t>
      </w:r>
      <w:r w:rsidR="00113EA6">
        <w:rPr>
          <w:rFonts w:ascii="Arial" w:hAnsi="Arial" w:cs="Arial"/>
        </w:rPr>
        <w:t xml:space="preserve">as approved by </w:t>
      </w:r>
      <w:r>
        <w:rPr>
          <w:rFonts w:ascii="Arial" w:hAnsi="Arial" w:cs="Arial"/>
        </w:rPr>
        <w:t xml:space="preserve">the </w:t>
      </w:r>
      <w:r w:rsidRPr="009407CB">
        <w:rPr>
          <w:rFonts w:ascii="Arial" w:hAnsi="Arial" w:cs="Arial"/>
        </w:rPr>
        <w:t>National Electricity Regulator of South Africa (NERSA)</w:t>
      </w:r>
      <w:r w:rsidR="00F90D9C">
        <w:rPr>
          <w:rFonts w:ascii="Arial" w:hAnsi="Arial" w:cs="Arial"/>
        </w:rPr>
        <w:t>;</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Achievement of full cost re</w:t>
      </w:r>
      <w:r w:rsidR="00F90D9C">
        <w:rPr>
          <w:rFonts w:ascii="Arial" w:hAnsi="Arial" w:cs="Arial"/>
        </w:rPr>
        <w:t>covery of specific us</w:t>
      </w:r>
      <w:r w:rsidR="008F2BA9">
        <w:rPr>
          <w:rFonts w:ascii="Arial" w:hAnsi="Arial" w:cs="Arial"/>
        </w:rPr>
        <w:t xml:space="preserve">er charges especially in relation </w:t>
      </w:r>
      <w:r w:rsidR="00F90D9C">
        <w:rPr>
          <w:rFonts w:ascii="Arial" w:hAnsi="Arial" w:cs="Arial"/>
        </w:rPr>
        <w:t>to trading services;</w:t>
      </w:r>
    </w:p>
    <w:p w:rsidR="00D81FBC" w:rsidRPr="009407CB"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 xml:space="preserve">Determining </w:t>
      </w:r>
      <w:r w:rsidR="00E661CF">
        <w:rPr>
          <w:rFonts w:ascii="Arial" w:hAnsi="Arial" w:cs="Arial"/>
        </w:rPr>
        <w:t xml:space="preserve">the </w:t>
      </w:r>
      <w:r w:rsidRPr="009407CB">
        <w:rPr>
          <w:rFonts w:ascii="Arial" w:hAnsi="Arial" w:cs="Arial"/>
        </w:rPr>
        <w:t>tariff escalation rate by establishing/</w:t>
      </w:r>
      <w:r w:rsidR="00F90D9C">
        <w:rPr>
          <w:rFonts w:ascii="Arial" w:hAnsi="Arial" w:cs="Arial"/>
        </w:rPr>
        <w:t xml:space="preserve">calculating </w:t>
      </w:r>
      <w:r w:rsidR="00E661CF">
        <w:rPr>
          <w:rFonts w:ascii="Arial" w:hAnsi="Arial" w:cs="Arial"/>
        </w:rPr>
        <w:t xml:space="preserve">the </w:t>
      </w:r>
      <w:r w:rsidR="00F90D9C">
        <w:rPr>
          <w:rFonts w:ascii="Arial" w:hAnsi="Arial" w:cs="Arial"/>
        </w:rPr>
        <w:t>revenue requirement</w:t>
      </w:r>
      <w:r w:rsidR="00113EA6">
        <w:rPr>
          <w:rFonts w:ascii="Arial" w:hAnsi="Arial" w:cs="Arial"/>
        </w:rPr>
        <w:t xml:space="preserve"> of each service</w:t>
      </w:r>
      <w:r w:rsidR="00F90D9C">
        <w:rPr>
          <w:rFonts w:ascii="Arial" w:hAnsi="Arial" w:cs="Arial"/>
        </w:rPr>
        <w:t>;</w:t>
      </w:r>
    </w:p>
    <w:p w:rsidR="00D81FBC" w:rsidRDefault="00D81FBC" w:rsidP="00E50C0E">
      <w:pPr>
        <w:numPr>
          <w:ilvl w:val="0"/>
          <w:numId w:val="5"/>
        </w:numPr>
        <w:tabs>
          <w:tab w:val="clear" w:pos="720"/>
        </w:tabs>
        <w:spacing w:after="0" w:line="240" w:lineRule="auto"/>
        <w:ind w:left="709" w:hanging="709"/>
        <w:jc w:val="both"/>
        <w:rPr>
          <w:rFonts w:ascii="Arial" w:hAnsi="Arial" w:cs="Arial"/>
        </w:rPr>
      </w:pPr>
      <w:r w:rsidRPr="009407CB">
        <w:rPr>
          <w:rFonts w:ascii="Arial" w:hAnsi="Arial" w:cs="Arial"/>
        </w:rPr>
        <w:t xml:space="preserve">The </w:t>
      </w:r>
      <w:r w:rsidR="00E661CF">
        <w:rPr>
          <w:rFonts w:ascii="Arial" w:hAnsi="Arial" w:cs="Arial"/>
        </w:rPr>
        <w:t xml:space="preserve">municipality’s </w:t>
      </w:r>
      <w:r w:rsidRPr="009407CB">
        <w:rPr>
          <w:rFonts w:ascii="Arial" w:hAnsi="Arial" w:cs="Arial"/>
        </w:rPr>
        <w:t xml:space="preserve">Property Rates Policy </w:t>
      </w:r>
      <w:r w:rsidR="00E661CF">
        <w:rPr>
          <w:rFonts w:ascii="Arial" w:hAnsi="Arial" w:cs="Arial"/>
        </w:rPr>
        <w:t xml:space="preserve">approved </w:t>
      </w:r>
      <w:r w:rsidRPr="009407CB">
        <w:rPr>
          <w:rFonts w:ascii="Arial" w:hAnsi="Arial" w:cs="Arial"/>
        </w:rPr>
        <w:t>in terms of the Municipal Property Rates Act, 2004 (Act 6 of 2004) (MPRA)</w:t>
      </w:r>
      <w:r w:rsidR="00F90D9C">
        <w:rPr>
          <w:rFonts w:ascii="Arial" w:hAnsi="Arial" w:cs="Arial"/>
        </w:rPr>
        <w:t>;</w:t>
      </w:r>
    </w:p>
    <w:p w:rsidR="00D81FBC" w:rsidRDefault="00E661CF"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Increase </w:t>
      </w:r>
      <w:r w:rsidR="00D81FBC">
        <w:rPr>
          <w:rFonts w:ascii="Arial" w:hAnsi="Arial" w:cs="Arial"/>
        </w:rPr>
        <w:t>ability to extend</w:t>
      </w:r>
      <w:r w:rsidR="00F90D9C">
        <w:rPr>
          <w:rFonts w:ascii="Arial" w:hAnsi="Arial" w:cs="Arial"/>
        </w:rPr>
        <w:t xml:space="preserve"> new services and </w:t>
      </w:r>
      <w:r w:rsidR="00113EA6">
        <w:rPr>
          <w:rFonts w:ascii="Arial" w:hAnsi="Arial" w:cs="Arial"/>
        </w:rPr>
        <w:t xml:space="preserve">recover </w:t>
      </w:r>
      <w:r w:rsidR="00F90D9C">
        <w:rPr>
          <w:rFonts w:ascii="Arial" w:hAnsi="Arial" w:cs="Arial"/>
        </w:rPr>
        <w:t>cost</w:t>
      </w:r>
      <w:r w:rsidR="00113EA6">
        <w:rPr>
          <w:rFonts w:ascii="Arial" w:hAnsi="Arial" w:cs="Arial"/>
        </w:rPr>
        <w:t>s</w:t>
      </w:r>
      <w:r w:rsidR="00F90D9C">
        <w:rPr>
          <w:rFonts w:ascii="Arial" w:hAnsi="Arial" w:cs="Arial"/>
        </w:rPr>
        <w:t>;</w:t>
      </w:r>
    </w:p>
    <w:p w:rsidR="00F90D9C" w:rsidRDefault="00113EA6"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The </w:t>
      </w:r>
      <w:r w:rsidR="00E661CF">
        <w:rPr>
          <w:rFonts w:ascii="Arial" w:hAnsi="Arial" w:cs="Arial"/>
        </w:rPr>
        <w:t>m</w:t>
      </w:r>
      <w:r>
        <w:rPr>
          <w:rFonts w:ascii="Arial" w:hAnsi="Arial" w:cs="Arial"/>
        </w:rPr>
        <w:t xml:space="preserve">unicipality’s </w:t>
      </w:r>
      <w:r w:rsidR="00F90D9C">
        <w:rPr>
          <w:rFonts w:ascii="Arial" w:hAnsi="Arial" w:cs="Arial"/>
        </w:rPr>
        <w:t xml:space="preserve">Indigent </w:t>
      </w:r>
      <w:r>
        <w:rPr>
          <w:rFonts w:ascii="Arial" w:hAnsi="Arial" w:cs="Arial"/>
        </w:rPr>
        <w:t>P</w:t>
      </w:r>
      <w:r w:rsidR="00F90D9C">
        <w:rPr>
          <w:rFonts w:ascii="Arial" w:hAnsi="Arial" w:cs="Arial"/>
        </w:rPr>
        <w:t>olicy and rendering of free basic services; and</w:t>
      </w:r>
    </w:p>
    <w:p w:rsidR="00F90D9C" w:rsidRPr="009407CB" w:rsidRDefault="001B235E"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Tariff policies of the Municipality</w:t>
      </w:r>
      <w:r w:rsidR="00F90D9C">
        <w:rPr>
          <w:rFonts w:ascii="Arial" w:hAnsi="Arial" w:cs="Arial"/>
        </w:rPr>
        <w:t>.</w:t>
      </w:r>
    </w:p>
    <w:p w:rsidR="00D81FBC" w:rsidRPr="009407CB" w:rsidRDefault="00D81FBC" w:rsidP="00D81FBC">
      <w:pPr>
        <w:tabs>
          <w:tab w:val="num" w:pos="1440"/>
        </w:tabs>
        <w:spacing w:after="0" w:line="240" w:lineRule="auto"/>
        <w:ind w:left="1440" w:hanging="360"/>
        <w:jc w:val="both"/>
        <w:rPr>
          <w:rFonts w:ascii="Arial" w:hAnsi="Arial" w:cs="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544F39" w:rsidRDefault="00544F39" w:rsidP="00D81FBC">
      <w:pPr>
        <w:spacing w:after="0" w:line="240" w:lineRule="auto"/>
        <w:jc w:val="both"/>
        <w:rPr>
          <w:rFonts w:ascii="Arial" w:hAnsi="Arial"/>
        </w:rPr>
      </w:pPr>
    </w:p>
    <w:p w:rsidR="00904C95" w:rsidRDefault="00D81FBC" w:rsidP="00D81FBC">
      <w:pPr>
        <w:spacing w:after="0" w:line="240" w:lineRule="auto"/>
        <w:jc w:val="both"/>
        <w:rPr>
          <w:rFonts w:ascii="Arial" w:hAnsi="Arial"/>
        </w:rPr>
      </w:pPr>
      <w:r w:rsidRPr="00FD4105">
        <w:rPr>
          <w:rFonts w:ascii="Arial" w:hAnsi="Arial"/>
        </w:rPr>
        <w:t xml:space="preserve">The following table is a summary of the </w:t>
      </w:r>
      <w:r w:rsidR="004454A3">
        <w:rPr>
          <w:rFonts w:ascii="Arial" w:hAnsi="Arial" w:cs="Arial"/>
        </w:rPr>
        <w:t>2019/20</w:t>
      </w:r>
      <w:r>
        <w:rPr>
          <w:rFonts w:ascii="Arial" w:hAnsi="Arial" w:cs="Arial"/>
        </w:rPr>
        <w:t xml:space="preserve"> </w:t>
      </w:r>
      <w:r w:rsidRPr="00FD4105">
        <w:rPr>
          <w:rFonts w:ascii="Arial" w:hAnsi="Arial"/>
        </w:rPr>
        <w:t>M</w:t>
      </w:r>
      <w:r>
        <w:rPr>
          <w:rFonts w:ascii="Arial" w:hAnsi="Arial"/>
        </w:rPr>
        <w:t>TREF</w:t>
      </w:r>
      <w:r w:rsidRPr="00FD4105">
        <w:rPr>
          <w:rFonts w:ascii="Arial" w:hAnsi="Arial"/>
        </w:rPr>
        <w:t xml:space="preserve"> (classified </w:t>
      </w:r>
      <w:r w:rsidR="002216E1">
        <w:rPr>
          <w:rFonts w:ascii="Arial" w:hAnsi="Arial"/>
        </w:rPr>
        <w:t xml:space="preserve">by </w:t>
      </w:r>
      <w:r w:rsidRPr="00FD4105">
        <w:rPr>
          <w:rFonts w:ascii="Arial" w:hAnsi="Arial"/>
        </w:rPr>
        <w:t xml:space="preserve">main </w:t>
      </w:r>
      <w:r>
        <w:rPr>
          <w:rFonts w:ascii="Arial" w:hAnsi="Arial"/>
        </w:rPr>
        <w:t>revenue source</w:t>
      </w:r>
      <w:r w:rsidRPr="00FD4105">
        <w:rPr>
          <w:rFonts w:ascii="Arial" w:hAnsi="Arial"/>
        </w:rPr>
        <w:t>):</w:t>
      </w:r>
    </w:p>
    <w:p w:rsidR="000505DC" w:rsidRDefault="000505DC" w:rsidP="00D81FBC">
      <w:pPr>
        <w:spacing w:after="0" w:line="240" w:lineRule="auto"/>
        <w:jc w:val="both"/>
        <w:rPr>
          <w:rFonts w:ascii="Arial" w:hAnsi="Arial"/>
        </w:rPr>
      </w:pPr>
    </w:p>
    <w:p w:rsidR="002216E1" w:rsidRDefault="002216E1" w:rsidP="002216E1">
      <w:pPr>
        <w:pStyle w:val="Caption"/>
        <w:rPr>
          <w:szCs w:val="22"/>
        </w:rPr>
      </w:pPr>
      <w:bookmarkStart w:id="36" w:name="_Toc287342443"/>
      <w:r>
        <w:t xml:space="preserve">Table </w:t>
      </w:r>
      <w:r w:rsidR="00951EB5">
        <w:fldChar w:fldCharType="begin"/>
      </w:r>
      <w:r w:rsidR="009F6B4A">
        <w:instrText xml:space="preserve"> SEQ Table \* ARABIC </w:instrText>
      </w:r>
      <w:r w:rsidR="00951EB5">
        <w:fldChar w:fldCharType="separate"/>
      </w:r>
      <w:r w:rsidR="00FB5E13">
        <w:rPr>
          <w:noProof/>
        </w:rPr>
        <w:t>2</w:t>
      </w:r>
      <w:r w:rsidR="00951EB5">
        <w:rPr>
          <w:noProof/>
        </w:rPr>
        <w:fldChar w:fldCharType="end"/>
      </w:r>
      <w:r>
        <w:t xml:space="preserve">  </w:t>
      </w:r>
      <w:r w:rsidRPr="000505DC">
        <w:rPr>
          <w:szCs w:val="22"/>
        </w:rPr>
        <w:t xml:space="preserve">Summary of revenue classified </w:t>
      </w:r>
      <w:r>
        <w:rPr>
          <w:szCs w:val="22"/>
        </w:rPr>
        <w:t xml:space="preserve">by </w:t>
      </w:r>
      <w:r w:rsidRPr="000505DC">
        <w:rPr>
          <w:szCs w:val="22"/>
        </w:rPr>
        <w:t>main revenue source</w:t>
      </w:r>
      <w:bookmarkEnd w:id="36"/>
    </w:p>
    <w:p w:rsidR="002216E1" w:rsidRPr="002216E1" w:rsidRDefault="00711A38" w:rsidP="002216E1">
      <w:r w:rsidRPr="00711A38">
        <w:rPr>
          <w:noProof/>
          <w:lang w:val="en-ZA" w:eastAsia="en-ZA"/>
        </w:rPr>
        <w:drawing>
          <wp:inline distT="0" distB="0" distL="0" distR="0">
            <wp:extent cx="5943600" cy="296741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67410"/>
                    </a:xfrm>
                    <a:prstGeom prst="rect">
                      <a:avLst/>
                    </a:prstGeom>
                    <a:noFill/>
                    <a:ln>
                      <a:noFill/>
                    </a:ln>
                  </pic:spPr>
                </pic:pic>
              </a:graphicData>
            </a:graphic>
          </wp:inline>
        </w:drawing>
      </w:r>
    </w:p>
    <w:p w:rsidR="000505DC" w:rsidRPr="000505DC" w:rsidRDefault="002216E1" w:rsidP="000505DC">
      <w:pPr>
        <w:pStyle w:val="Caption"/>
        <w:keepNext/>
        <w:rPr>
          <w:szCs w:val="22"/>
        </w:rPr>
      </w:pPr>
      <w:bookmarkStart w:id="37" w:name="_Toc287342444"/>
      <w:r>
        <w:t xml:space="preserve">Table </w:t>
      </w:r>
      <w:r w:rsidR="00951EB5">
        <w:fldChar w:fldCharType="begin"/>
      </w:r>
      <w:r w:rsidR="009F6B4A">
        <w:instrText xml:space="preserve"> SEQ Table \* ARABIC </w:instrText>
      </w:r>
      <w:r w:rsidR="00951EB5">
        <w:fldChar w:fldCharType="separate"/>
      </w:r>
      <w:r w:rsidR="00FB5E13">
        <w:rPr>
          <w:noProof/>
        </w:rPr>
        <w:t>3</w:t>
      </w:r>
      <w:r w:rsidR="00951EB5">
        <w:rPr>
          <w:noProof/>
        </w:rPr>
        <w:fldChar w:fldCharType="end"/>
      </w:r>
      <w:r>
        <w:t xml:space="preserve"> </w:t>
      </w:r>
      <w:r w:rsidR="000505DC" w:rsidRPr="000505DC">
        <w:rPr>
          <w:szCs w:val="22"/>
        </w:rPr>
        <w:t xml:space="preserve"> </w:t>
      </w:r>
      <w:r>
        <w:rPr>
          <w:szCs w:val="22"/>
        </w:rPr>
        <w:t>Percentage growth in revenue by main revenue source</w:t>
      </w:r>
      <w:bookmarkEnd w:id="37"/>
    </w:p>
    <w:p w:rsidR="00210698" w:rsidRDefault="00711A38" w:rsidP="00696DFA">
      <w:pPr>
        <w:spacing w:after="0" w:line="240" w:lineRule="auto"/>
        <w:jc w:val="both"/>
      </w:pPr>
      <w:r w:rsidRPr="00711A38">
        <w:rPr>
          <w:noProof/>
          <w:lang w:val="en-ZA" w:eastAsia="en-ZA"/>
        </w:rPr>
        <w:drawing>
          <wp:inline distT="0" distB="0" distL="0" distR="0">
            <wp:extent cx="5943600" cy="19676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67617"/>
                    </a:xfrm>
                    <a:prstGeom prst="rect">
                      <a:avLst/>
                    </a:prstGeom>
                    <a:noFill/>
                    <a:ln>
                      <a:noFill/>
                    </a:ln>
                  </pic:spPr>
                </pic:pic>
              </a:graphicData>
            </a:graphic>
          </wp:inline>
        </w:drawing>
      </w:r>
    </w:p>
    <w:p w:rsidR="00210698" w:rsidRDefault="00210698" w:rsidP="00696DFA">
      <w:pPr>
        <w:spacing w:after="0" w:line="240" w:lineRule="auto"/>
        <w:jc w:val="both"/>
        <w:rPr>
          <w:rFonts w:ascii="Arial" w:hAnsi="Arial" w:cs="Arial"/>
        </w:rPr>
      </w:pPr>
    </w:p>
    <w:p w:rsidR="00BD5CBF" w:rsidRDefault="00113EA6" w:rsidP="00696DFA">
      <w:pPr>
        <w:spacing w:after="0" w:line="240" w:lineRule="auto"/>
        <w:jc w:val="both"/>
        <w:rPr>
          <w:rFonts w:ascii="Arial" w:hAnsi="Arial" w:cs="Arial"/>
        </w:rPr>
      </w:pPr>
      <w:r>
        <w:rPr>
          <w:rFonts w:ascii="Arial" w:hAnsi="Arial" w:cs="Arial"/>
        </w:rPr>
        <w:t>In line with the formats prescribed by the Municipal Budget and Reporting Regulations,</w:t>
      </w:r>
      <w:r w:rsidR="00BD5CBF" w:rsidRPr="00383239">
        <w:rPr>
          <w:rFonts w:ascii="Arial" w:hAnsi="Arial" w:cs="Arial"/>
        </w:rPr>
        <w:t xml:space="preserve"> capital transfers and contributions are </w:t>
      </w:r>
      <w:r w:rsidR="00BD5CBF">
        <w:rPr>
          <w:rFonts w:ascii="Arial" w:hAnsi="Arial" w:cs="Arial"/>
        </w:rPr>
        <w:t>excluded from the operating statement</w:t>
      </w:r>
      <w:r>
        <w:rPr>
          <w:rFonts w:ascii="Arial" w:hAnsi="Arial" w:cs="Arial"/>
        </w:rPr>
        <w:t xml:space="preserve">, as inclusion of these revenue sources would </w:t>
      </w:r>
      <w:r w:rsidR="00BD5CBF">
        <w:rPr>
          <w:rFonts w:ascii="Arial" w:hAnsi="Arial" w:cs="Arial"/>
        </w:rPr>
        <w:t xml:space="preserve">distort the </w:t>
      </w:r>
      <w:r>
        <w:rPr>
          <w:rFonts w:ascii="Arial" w:hAnsi="Arial" w:cs="Arial"/>
        </w:rPr>
        <w:t xml:space="preserve">calculation of the </w:t>
      </w:r>
      <w:r w:rsidR="00BD5CBF">
        <w:rPr>
          <w:rFonts w:ascii="Arial" w:hAnsi="Arial" w:cs="Arial"/>
        </w:rPr>
        <w:t>operating surplus</w:t>
      </w:r>
      <w:r w:rsidR="009E20DE">
        <w:rPr>
          <w:rFonts w:ascii="Arial" w:hAnsi="Arial" w:cs="Arial"/>
        </w:rPr>
        <w:t>/</w:t>
      </w:r>
      <w:r w:rsidR="00BD5CBF">
        <w:rPr>
          <w:rFonts w:ascii="Arial" w:hAnsi="Arial" w:cs="Arial"/>
        </w:rPr>
        <w:t>deficit.</w:t>
      </w:r>
    </w:p>
    <w:p w:rsidR="00696DFA" w:rsidRDefault="00696DFA" w:rsidP="00696DFA">
      <w:pPr>
        <w:spacing w:after="0" w:line="240" w:lineRule="auto"/>
        <w:jc w:val="both"/>
        <w:rPr>
          <w:rFonts w:ascii="Arial" w:hAnsi="Arial" w:cs="Arial"/>
        </w:rPr>
      </w:pPr>
    </w:p>
    <w:p w:rsidR="00322D5D" w:rsidRDefault="00696DFA" w:rsidP="00696DFA">
      <w:pPr>
        <w:spacing w:after="0" w:line="240" w:lineRule="auto"/>
        <w:jc w:val="both"/>
        <w:rPr>
          <w:rFonts w:ascii="Arial" w:hAnsi="Arial" w:cs="Arial"/>
        </w:rPr>
      </w:pPr>
      <w:r>
        <w:rPr>
          <w:rFonts w:ascii="Arial" w:hAnsi="Arial" w:cs="Arial"/>
        </w:rPr>
        <w:t xml:space="preserve">Revenue generated from </w:t>
      </w:r>
      <w:r w:rsidR="00C26BF5">
        <w:rPr>
          <w:rFonts w:ascii="Arial" w:hAnsi="Arial" w:cs="Arial"/>
        </w:rPr>
        <w:t xml:space="preserve">rates and </w:t>
      </w:r>
      <w:r>
        <w:rPr>
          <w:rFonts w:ascii="Arial" w:hAnsi="Arial" w:cs="Arial"/>
        </w:rPr>
        <w:t>services ch</w:t>
      </w:r>
      <w:r w:rsidR="00CE704D">
        <w:rPr>
          <w:rFonts w:ascii="Arial" w:hAnsi="Arial" w:cs="Arial"/>
        </w:rPr>
        <w:t xml:space="preserve">arges forms a significant percentage of the </w:t>
      </w:r>
      <w:r>
        <w:rPr>
          <w:rFonts w:ascii="Arial" w:hAnsi="Arial" w:cs="Arial"/>
        </w:rPr>
        <w:t xml:space="preserve">revenue basket </w:t>
      </w:r>
      <w:r w:rsidR="0028366E">
        <w:rPr>
          <w:rFonts w:ascii="Arial" w:hAnsi="Arial" w:cs="Arial"/>
        </w:rPr>
        <w:t>for the Municipality</w:t>
      </w:r>
      <w:r w:rsidR="000C3DBD">
        <w:rPr>
          <w:rFonts w:ascii="Arial" w:hAnsi="Arial" w:cs="Arial"/>
        </w:rPr>
        <w:t xml:space="preserve">.  </w:t>
      </w:r>
      <w:r w:rsidR="00C26BF5">
        <w:rPr>
          <w:rFonts w:ascii="Arial" w:hAnsi="Arial" w:cs="Arial"/>
        </w:rPr>
        <w:t>Rates and s</w:t>
      </w:r>
      <w:r w:rsidR="000C3DBD">
        <w:rPr>
          <w:rFonts w:ascii="Arial" w:hAnsi="Arial" w:cs="Arial"/>
        </w:rPr>
        <w:t xml:space="preserve">ervice charge revenues </w:t>
      </w:r>
      <w:r w:rsidR="00CE704D">
        <w:rPr>
          <w:rFonts w:ascii="Arial" w:hAnsi="Arial" w:cs="Arial"/>
        </w:rPr>
        <w:t>compris</w:t>
      </w:r>
      <w:r w:rsidR="000C3DBD">
        <w:rPr>
          <w:rFonts w:ascii="Arial" w:hAnsi="Arial" w:cs="Arial"/>
        </w:rPr>
        <w:t>e</w:t>
      </w:r>
      <w:r w:rsidR="00CE704D">
        <w:rPr>
          <w:rFonts w:ascii="Arial" w:hAnsi="Arial" w:cs="Arial"/>
        </w:rPr>
        <w:t xml:space="preserve"> more than </w:t>
      </w:r>
      <w:r w:rsidR="00C26BF5">
        <w:rPr>
          <w:rFonts w:ascii="Arial" w:hAnsi="Arial" w:cs="Arial"/>
        </w:rPr>
        <w:t>two thirds of</w:t>
      </w:r>
      <w:r w:rsidR="00210698">
        <w:rPr>
          <w:rFonts w:ascii="Arial" w:hAnsi="Arial" w:cs="Arial"/>
        </w:rPr>
        <w:t xml:space="preserve"> </w:t>
      </w:r>
      <w:r w:rsidR="00CE704D">
        <w:rPr>
          <w:rFonts w:ascii="Arial" w:hAnsi="Arial" w:cs="Arial"/>
        </w:rPr>
        <w:t>the total revenue mix.</w:t>
      </w:r>
      <w:r w:rsidR="00E661CF">
        <w:rPr>
          <w:rFonts w:ascii="Arial" w:hAnsi="Arial" w:cs="Arial"/>
        </w:rPr>
        <w:t xml:space="preserve"> </w:t>
      </w:r>
      <w:r w:rsidR="0028366E">
        <w:rPr>
          <w:rFonts w:ascii="Arial" w:hAnsi="Arial" w:cs="Arial"/>
        </w:rPr>
        <w:t xml:space="preserve"> In the </w:t>
      </w:r>
      <w:r w:rsidR="004454A3">
        <w:rPr>
          <w:rFonts w:ascii="Arial" w:hAnsi="Arial" w:cs="Arial"/>
        </w:rPr>
        <w:t>2019/20</w:t>
      </w:r>
      <w:r w:rsidR="00CE704D">
        <w:rPr>
          <w:rFonts w:ascii="Arial" w:hAnsi="Arial" w:cs="Arial"/>
        </w:rPr>
        <w:t xml:space="preserve"> financial year</w:t>
      </w:r>
      <w:r w:rsidR="00E661CF">
        <w:rPr>
          <w:rFonts w:ascii="Arial" w:hAnsi="Arial" w:cs="Arial"/>
        </w:rPr>
        <w:t>,</w:t>
      </w:r>
      <w:r w:rsidR="00CE704D">
        <w:rPr>
          <w:rFonts w:ascii="Arial" w:hAnsi="Arial" w:cs="Arial"/>
        </w:rPr>
        <w:t xml:space="preserve"> </w:t>
      </w:r>
      <w:r w:rsidR="00210698">
        <w:rPr>
          <w:rFonts w:ascii="Arial" w:hAnsi="Arial" w:cs="Arial"/>
        </w:rPr>
        <w:t>revenue from</w:t>
      </w:r>
      <w:r w:rsidR="00C26BF5">
        <w:rPr>
          <w:rFonts w:ascii="Arial" w:hAnsi="Arial" w:cs="Arial"/>
        </w:rPr>
        <w:t xml:space="preserve"> rates and </w:t>
      </w:r>
      <w:r w:rsidR="000C3DBD">
        <w:rPr>
          <w:rFonts w:ascii="Arial" w:hAnsi="Arial" w:cs="Arial"/>
        </w:rPr>
        <w:t>services charge</w:t>
      </w:r>
      <w:r w:rsidR="00210698">
        <w:rPr>
          <w:rFonts w:ascii="Arial" w:hAnsi="Arial" w:cs="Arial"/>
        </w:rPr>
        <w:t xml:space="preserve">s </w:t>
      </w:r>
      <w:r w:rsidR="0028366E">
        <w:rPr>
          <w:rFonts w:ascii="Arial" w:hAnsi="Arial" w:cs="Arial"/>
        </w:rPr>
        <w:t>total</w:t>
      </w:r>
      <w:r w:rsidR="00E661CF">
        <w:rPr>
          <w:rFonts w:ascii="Arial" w:hAnsi="Arial" w:cs="Arial"/>
        </w:rPr>
        <w:t>ed</w:t>
      </w:r>
      <w:r w:rsidR="00CE704D">
        <w:rPr>
          <w:rFonts w:ascii="Arial" w:hAnsi="Arial" w:cs="Arial"/>
        </w:rPr>
        <w:t xml:space="preserve"> R</w:t>
      </w:r>
      <w:r w:rsidR="004454A3">
        <w:rPr>
          <w:rFonts w:ascii="Arial" w:hAnsi="Arial" w:cs="Arial"/>
        </w:rPr>
        <w:t>348</w:t>
      </w:r>
      <w:r w:rsidR="0028366E">
        <w:rPr>
          <w:rFonts w:ascii="Arial" w:hAnsi="Arial" w:cs="Arial"/>
        </w:rPr>
        <w:t xml:space="preserve"> million</w:t>
      </w:r>
      <w:r w:rsidR="00CE704D">
        <w:rPr>
          <w:rFonts w:ascii="Arial" w:hAnsi="Arial" w:cs="Arial"/>
        </w:rPr>
        <w:t xml:space="preserve"> or </w:t>
      </w:r>
      <w:r w:rsidR="004454A3">
        <w:rPr>
          <w:rFonts w:ascii="Arial" w:hAnsi="Arial" w:cs="Arial"/>
        </w:rPr>
        <w:t>61.4</w:t>
      </w:r>
      <w:r w:rsidR="00CE704D">
        <w:rPr>
          <w:rFonts w:ascii="Arial" w:hAnsi="Arial" w:cs="Arial"/>
        </w:rPr>
        <w:t xml:space="preserve"> per cent</w:t>
      </w:r>
      <w:r w:rsidR="000C3DBD">
        <w:rPr>
          <w:rFonts w:ascii="Arial" w:hAnsi="Arial" w:cs="Arial"/>
        </w:rPr>
        <w:t xml:space="preserve">.  This increases </w:t>
      </w:r>
      <w:r w:rsidR="00CE704D">
        <w:rPr>
          <w:rFonts w:ascii="Arial" w:hAnsi="Arial" w:cs="Arial"/>
        </w:rPr>
        <w:t>to R</w:t>
      </w:r>
      <w:r w:rsidR="004454A3">
        <w:rPr>
          <w:rFonts w:ascii="Arial" w:hAnsi="Arial" w:cs="Arial"/>
        </w:rPr>
        <w:t>367</w:t>
      </w:r>
      <w:r w:rsidR="0028366E">
        <w:rPr>
          <w:rFonts w:ascii="Arial" w:hAnsi="Arial" w:cs="Arial"/>
        </w:rPr>
        <w:t xml:space="preserve"> million</w:t>
      </w:r>
      <w:r w:rsidR="00CE704D">
        <w:rPr>
          <w:rFonts w:ascii="Arial" w:hAnsi="Arial" w:cs="Arial"/>
        </w:rPr>
        <w:t xml:space="preserve"> and R</w:t>
      </w:r>
      <w:r w:rsidR="004454A3">
        <w:rPr>
          <w:rFonts w:ascii="Arial" w:hAnsi="Arial" w:cs="Arial"/>
        </w:rPr>
        <w:t>386</w:t>
      </w:r>
      <w:r w:rsidR="0028366E">
        <w:rPr>
          <w:rFonts w:ascii="Arial" w:hAnsi="Arial" w:cs="Arial"/>
        </w:rPr>
        <w:t xml:space="preserve"> million</w:t>
      </w:r>
      <w:r w:rsidR="00CE704D">
        <w:rPr>
          <w:rFonts w:ascii="Arial" w:hAnsi="Arial" w:cs="Arial"/>
        </w:rPr>
        <w:t xml:space="preserve"> in the respective financial years of the MTREF. </w:t>
      </w:r>
      <w:r w:rsidR="000C3DBD">
        <w:rPr>
          <w:rFonts w:ascii="Arial" w:hAnsi="Arial" w:cs="Arial"/>
        </w:rPr>
        <w:t xml:space="preserve"> </w:t>
      </w:r>
      <w:r w:rsidR="00CE704D">
        <w:rPr>
          <w:rFonts w:ascii="Arial" w:hAnsi="Arial" w:cs="Arial"/>
        </w:rPr>
        <w:t xml:space="preserve">A notable trend is the increase in the total percentage revenue generated from </w:t>
      </w:r>
      <w:r w:rsidR="00C26BF5">
        <w:rPr>
          <w:rFonts w:ascii="Arial" w:hAnsi="Arial" w:cs="Arial"/>
        </w:rPr>
        <w:t xml:space="preserve">rates and </w:t>
      </w:r>
      <w:r w:rsidR="00CE704D">
        <w:rPr>
          <w:rFonts w:ascii="Arial" w:hAnsi="Arial" w:cs="Arial"/>
        </w:rPr>
        <w:t>services charges which increase</w:t>
      </w:r>
      <w:r w:rsidR="008F2BA9">
        <w:rPr>
          <w:rFonts w:ascii="Arial" w:hAnsi="Arial" w:cs="Arial"/>
        </w:rPr>
        <w:t>s</w:t>
      </w:r>
      <w:r w:rsidR="00CE704D">
        <w:rPr>
          <w:rFonts w:ascii="Arial" w:hAnsi="Arial" w:cs="Arial"/>
        </w:rPr>
        <w:t xml:space="preserve"> from </w:t>
      </w:r>
      <w:r w:rsidR="004454A3">
        <w:rPr>
          <w:rFonts w:ascii="Arial" w:hAnsi="Arial" w:cs="Arial"/>
        </w:rPr>
        <w:t>60</w:t>
      </w:r>
      <w:r w:rsidR="00544F39">
        <w:rPr>
          <w:rFonts w:ascii="Arial" w:hAnsi="Arial" w:cs="Arial"/>
        </w:rPr>
        <w:t xml:space="preserve"> </w:t>
      </w:r>
      <w:r w:rsidR="003F7B53">
        <w:rPr>
          <w:rFonts w:ascii="Arial" w:hAnsi="Arial" w:cs="Arial"/>
        </w:rPr>
        <w:t xml:space="preserve">per cent in </w:t>
      </w:r>
      <w:r w:rsidR="004454A3">
        <w:rPr>
          <w:rFonts w:ascii="Arial" w:hAnsi="Arial" w:cs="Arial"/>
        </w:rPr>
        <w:t>2018/19</w:t>
      </w:r>
      <w:r w:rsidR="003F7B53">
        <w:rPr>
          <w:rFonts w:ascii="Arial" w:hAnsi="Arial" w:cs="Arial"/>
        </w:rPr>
        <w:t xml:space="preserve"> to</w:t>
      </w:r>
      <w:r w:rsidR="00F44542">
        <w:rPr>
          <w:rFonts w:ascii="Arial" w:hAnsi="Arial" w:cs="Arial"/>
        </w:rPr>
        <w:t xml:space="preserve"> </w:t>
      </w:r>
      <w:r w:rsidR="004454A3">
        <w:rPr>
          <w:rFonts w:ascii="Arial" w:hAnsi="Arial" w:cs="Arial"/>
        </w:rPr>
        <w:t>61 per cent in 2019/20</w:t>
      </w:r>
      <w:r w:rsidR="00CE704D">
        <w:rPr>
          <w:rFonts w:ascii="Arial" w:hAnsi="Arial" w:cs="Arial"/>
        </w:rPr>
        <w:t>.</w:t>
      </w:r>
      <w:r w:rsidR="000C3DBD">
        <w:rPr>
          <w:rFonts w:ascii="Arial" w:hAnsi="Arial" w:cs="Arial"/>
        </w:rPr>
        <w:t xml:space="preserve"> </w:t>
      </w:r>
      <w:r w:rsidR="00CE704D">
        <w:rPr>
          <w:rFonts w:ascii="Arial" w:hAnsi="Arial" w:cs="Arial"/>
        </w:rPr>
        <w:t xml:space="preserve">This growth can be mainly attributed </w:t>
      </w:r>
      <w:r w:rsidR="00E661CF">
        <w:rPr>
          <w:rFonts w:ascii="Arial" w:hAnsi="Arial" w:cs="Arial"/>
        </w:rPr>
        <w:t xml:space="preserve">to </w:t>
      </w:r>
      <w:r w:rsidR="000B021C">
        <w:rPr>
          <w:rFonts w:ascii="Arial" w:hAnsi="Arial" w:cs="Arial"/>
        </w:rPr>
        <w:t>the increased share that the sale of electricity contributes to the total revenue mix</w:t>
      </w:r>
      <w:r w:rsidR="00E661CF">
        <w:rPr>
          <w:rFonts w:ascii="Arial" w:hAnsi="Arial" w:cs="Arial"/>
        </w:rPr>
        <w:t xml:space="preserve">, which in turn is due to rapid </w:t>
      </w:r>
      <w:r w:rsidR="00EE364E">
        <w:rPr>
          <w:rFonts w:ascii="Arial" w:hAnsi="Arial" w:cs="Arial"/>
        </w:rPr>
        <w:t>increases in the Eskom tariffs for bulk electricity</w:t>
      </w:r>
      <w:r w:rsidR="000B021C">
        <w:rPr>
          <w:rFonts w:ascii="Arial" w:hAnsi="Arial" w:cs="Arial"/>
        </w:rPr>
        <w:t xml:space="preserve">. </w:t>
      </w:r>
      <w:r w:rsidR="000C3DBD">
        <w:rPr>
          <w:rFonts w:ascii="Arial" w:hAnsi="Arial" w:cs="Arial"/>
        </w:rPr>
        <w:t xml:space="preserve"> </w:t>
      </w:r>
      <w:r w:rsidR="000B021C">
        <w:rPr>
          <w:rFonts w:ascii="Arial" w:hAnsi="Arial" w:cs="Arial"/>
        </w:rPr>
        <w:t xml:space="preserve">The </w:t>
      </w:r>
      <w:r w:rsidR="000C3DBD">
        <w:rPr>
          <w:rFonts w:ascii="Arial" w:hAnsi="Arial" w:cs="Arial"/>
        </w:rPr>
        <w:t xml:space="preserve">above </w:t>
      </w:r>
      <w:r w:rsidR="000B021C">
        <w:rPr>
          <w:rFonts w:ascii="Arial" w:hAnsi="Arial" w:cs="Arial"/>
        </w:rPr>
        <w:t xml:space="preserve">table excludes revenue foregone </w:t>
      </w:r>
      <w:r w:rsidR="000C3DBD">
        <w:rPr>
          <w:rFonts w:ascii="Arial" w:hAnsi="Arial" w:cs="Arial"/>
        </w:rPr>
        <w:t xml:space="preserve">arising from </w:t>
      </w:r>
      <w:r w:rsidR="000B021C">
        <w:rPr>
          <w:rFonts w:ascii="Arial" w:hAnsi="Arial" w:cs="Arial"/>
        </w:rPr>
        <w:t>discounts and rebates associated with the tariff policies of the Municipality.</w:t>
      </w:r>
      <w:r w:rsidR="00EE364E">
        <w:rPr>
          <w:rFonts w:ascii="Arial" w:hAnsi="Arial" w:cs="Arial"/>
        </w:rPr>
        <w:t xml:space="preserve"> </w:t>
      </w:r>
      <w:r w:rsidR="000B021C">
        <w:rPr>
          <w:rFonts w:ascii="Arial" w:hAnsi="Arial" w:cs="Arial"/>
        </w:rPr>
        <w:t xml:space="preserve"> Detail</w:t>
      </w:r>
      <w:r w:rsidR="00322D5D">
        <w:rPr>
          <w:rFonts w:ascii="Arial" w:hAnsi="Arial" w:cs="Arial"/>
        </w:rPr>
        <w:t>s</w:t>
      </w:r>
      <w:r w:rsidR="000B021C">
        <w:rPr>
          <w:rFonts w:ascii="Arial" w:hAnsi="Arial" w:cs="Arial"/>
        </w:rPr>
        <w:t xml:space="preserve"> in this regard </w:t>
      </w:r>
      <w:r w:rsidR="00322D5D">
        <w:rPr>
          <w:rFonts w:ascii="Arial" w:hAnsi="Arial" w:cs="Arial"/>
        </w:rPr>
        <w:t xml:space="preserve">are </w:t>
      </w:r>
      <w:r w:rsidR="000B021C">
        <w:rPr>
          <w:rFonts w:ascii="Arial" w:hAnsi="Arial" w:cs="Arial"/>
        </w:rPr>
        <w:t xml:space="preserve">contained in </w:t>
      </w:r>
      <w:r w:rsidR="00CA4982">
        <w:rPr>
          <w:rFonts w:ascii="Arial" w:hAnsi="Arial" w:cs="Arial"/>
        </w:rPr>
        <w:t xml:space="preserve">Table 64 MBRR </w:t>
      </w:r>
      <w:r w:rsidR="000A48A7">
        <w:rPr>
          <w:rFonts w:ascii="Arial" w:hAnsi="Arial" w:cs="Arial"/>
        </w:rPr>
        <w:t>SA1.</w:t>
      </w:r>
    </w:p>
    <w:p w:rsidR="00322D5D" w:rsidRDefault="00322D5D" w:rsidP="00696DFA">
      <w:pPr>
        <w:spacing w:after="0" w:line="240" w:lineRule="auto"/>
        <w:jc w:val="both"/>
        <w:rPr>
          <w:rFonts w:ascii="Arial" w:hAnsi="Arial" w:cs="Arial"/>
        </w:rPr>
      </w:pPr>
    </w:p>
    <w:p w:rsidR="00322D5D" w:rsidRDefault="00210698" w:rsidP="00696DFA">
      <w:pPr>
        <w:spacing w:after="0" w:line="240" w:lineRule="auto"/>
        <w:jc w:val="both"/>
        <w:rPr>
          <w:rFonts w:ascii="Arial" w:hAnsi="Arial" w:cs="Arial"/>
        </w:rPr>
      </w:pPr>
      <w:r>
        <w:rPr>
          <w:rFonts w:ascii="Arial" w:hAnsi="Arial" w:cs="Arial"/>
        </w:rPr>
        <w:t xml:space="preserve">Property rates is </w:t>
      </w:r>
      <w:r w:rsidR="000A48A7">
        <w:rPr>
          <w:rFonts w:ascii="Arial" w:hAnsi="Arial" w:cs="Arial"/>
        </w:rPr>
        <w:t>the third</w:t>
      </w:r>
      <w:r w:rsidR="00322D5D">
        <w:rPr>
          <w:rFonts w:ascii="Arial" w:hAnsi="Arial" w:cs="Arial"/>
        </w:rPr>
        <w:t xml:space="preserve"> largest revenue source totaling </w:t>
      </w:r>
      <w:r w:rsidR="004454A3">
        <w:rPr>
          <w:rFonts w:ascii="Arial" w:hAnsi="Arial" w:cs="Arial"/>
        </w:rPr>
        <w:t>16</w:t>
      </w:r>
      <w:r w:rsidR="00322D5D">
        <w:rPr>
          <w:rFonts w:ascii="Arial" w:hAnsi="Arial" w:cs="Arial"/>
        </w:rPr>
        <w:t xml:space="preserve"> per cent or R</w:t>
      </w:r>
      <w:r w:rsidR="004454A3">
        <w:rPr>
          <w:rFonts w:ascii="Arial" w:hAnsi="Arial" w:cs="Arial"/>
        </w:rPr>
        <w:t>90</w:t>
      </w:r>
      <w:r w:rsidR="00DF3124">
        <w:rPr>
          <w:rFonts w:ascii="Arial" w:hAnsi="Arial" w:cs="Arial"/>
        </w:rPr>
        <w:t xml:space="preserve"> </w:t>
      </w:r>
      <w:r w:rsidR="000A48A7">
        <w:rPr>
          <w:rFonts w:ascii="Arial" w:hAnsi="Arial" w:cs="Arial"/>
        </w:rPr>
        <w:t>million</w:t>
      </w:r>
      <w:r w:rsidR="00322D5D">
        <w:rPr>
          <w:rFonts w:ascii="Arial" w:hAnsi="Arial" w:cs="Arial"/>
        </w:rPr>
        <w:t xml:space="preserve"> rand and </w:t>
      </w:r>
      <w:r w:rsidR="001C22D7">
        <w:rPr>
          <w:rFonts w:ascii="Arial" w:hAnsi="Arial" w:cs="Arial"/>
        </w:rPr>
        <w:t xml:space="preserve">increases </w:t>
      </w:r>
      <w:r w:rsidR="00322D5D">
        <w:rPr>
          <w:rFonts w:ascii="Arial" w:hAnsi="Arial" w:cs="Arial"/>
        </w:rPr>
        <w:t>to R</w:t>
      </w:r>
      <w:r w:rsidR="004454A3">
        <w:rPr>
          <w:rFonts w:ascii="Arial" w:hAnsi="Arial" w:cs="Arial"/>
        </w:rPr>
        <w:t>100 million by 2021/22</w:t>
      </w:r>
      <w:r w:rsidR="00322D5D">
        <w:rPr>
          <w:rFonts w:ascii="Arial" w:hAnsi="Arial" w:cs="Arial"/>
        </w:rPr>
        <w:t>.</w:t>
      </w:r>
      <w:r w:rsidR="00CA4982">
        <w:rPr>
          <w:rFonts w:ascii="Arial" w:hAnsi="Arial" w:cs="Arial"/>
        </w:rPr>
        <w:t xml:space="preserve"> </w:t>
      </w:r>
    </w:p>
    <w:p w:rsidR="00322D5D" w:rsidRDefault="00322D5D" w:rsidP="00696DFA">
      <w:pPr>
        <w:spacing w:after="0" w:line="240" w:lineRule="auto"/>
        <w:jc w:val="both"/>
        <w:rPr>
          <w:rFonts w:ascii="Arial" w:hAnsi="Arial" w:cs="Arial"/>
        </w:rPr>
      </w:pPr>
    </w:p>
    <w:p w:rsidR="00F44542" w:rsidRDefault="00B47E8A" w:rsidP="00E56FBA">
      <w:pPr>
        <w:spacing w:after="0" w:line="240" w:lineRule="auto"/>
        <w:jc w:val="both"/>
        <w:rPr>
          <w:rFonts w:ascii="Arial" w:hAnsi="Arial" w:cs="Arial"/>
        </w:rPr>
      </w:pPr>
      <w:r>
        <w:rPr>
          <w:rFonts w:ascii="Arial" w:hAnsi="Arial" w:cs="Arial"/>
        </w:rPr>
        <w:t xml:space="preserve">Operating </w:t>
      </w:r>
      <w:r w:rsidR="00DF3124">
        <w:rPr>
          <w:rFonts w:ascii="Arial" w:hAnsi="Arial" w:cs="Arial"/>
        </w:rPr>
        <w:t>g</w:t>
      </w:r>
      <w:r w:rsidR="00544F39">
        <w:rPr>
          <w:rFonts w:ascii="Arial" w:hAnsi="Arial" w:cs="Arial"/>
        </w:rPr>
        <w:t>rants</w:t>
      </w:r>
      <w:r w:rsidR="004454A3">
        <w:rPr>
          <w:rFonts w:ascii="Arial" w:hAnsi="Arial" w:cs="Arial"/>
        </w:rPr>
        <w:t xml:space="preserve"> and transfers totals R187</w:t>
      </w:r>
      <w:r w:rsidR="000A48A7">
        <w:rPr>
          <w:rFonts w:ascii="Arial" w:hAnsi="Arial" w:cs="Arial"/>
        </w:rPr>
        <w:t xml:space="preserve"> million in the </w:t>
      </w:r>
      <w:r w:rsidR="004454A3">
        <w:rPr>
          <w:rFonts w:ascii="Arial" w:hAnsi="Arial" w:cs="Arial"/>
        </w:rPr>
        <w:t>2019/20</w:t>
      </w:r>
      <w:r>
        <w:rPr>
          <w:rFonts w:ascii="Arial" w:hAnsi="Arial" w:cs="Arial"/>
        </w:rPr>
        <w:t xml:space="preserve"> financial y</w:t>
      </w:r>
      <w:r w:rsidR="000A48A7">
        <w:rPr>
          <w:rFonts w:ascii="Arial" w:hAnsi="Arial" w:cs="Arial"/>
        </w:rPr>
        <w:t>ear</w:t>
      </w:r>
      <w:r w:rsidR="004454A3">
        <w:rPr>
          <w:rFonts w:ascii="Arial" w:hAnsi="Arial" w:cs="Arial"/>
        </w:rPr>
        <w:t xml:space="preserve"> and steadily increased to R212 million by 20</w:t>
      </w:r>
      <w:r w:rsidR="00544F39">
        <w:rPr>
          <w:rFonts w:ascii="Arial" w:hAnsi="Arial" w:cs="Arial"/>
        </w:rPr>
        <w:t>21</w:t>
      </w:r>
      <w:r w:rsidR="004454A3">
        <w:rPr>
          <w:rFonts w:ascii="Arial" w:hAnsi="Arial" w:cs="Arial"/>
        </w:rPr>
        <w:t>/22</w:t>
      </w:r>
      <w:r w:rsidR="00DF3124">
        <w:rPr>
          <w:rFonts w:ascii="Arial" w:hAnsi="Arial" w:cs="Arial"/>
        </w:rPr>
        <w:t>.</w:t>
      </w:r>
      <w:r>
        <w:rPr>
          <w:rFonts w:ascii="Arial" w:hAnsi="Arial" w:cs="Arial"/>
        </w:rPr>
        <w:t xml:space="preserve">The following table </w:t>
      </w:r>
      <w:r w:rsidR="00EE364E">
        <w:rPr>
          <w:rFonts w:ascii="Arial" w:hAnsi="Arial" w:cs="Arial"/>
        </w:rPr>
        <w:t xml:space="preserve">gives </w:t>
      </w:r>
      <w:r>
        <w:rPr>
          <w:rFonts w:ascii="Arial" w:hAnsi="Arial" w:cs="Arial"/>
        </w:rPr>
        <w:t xml:space="preserve">a breakdown of the various operating grants and subsidies </w:t>
      </w:r>
      <w:r w:rsidR="00EE364E">
        <w:rPr>
          <w:rFonts w:ascii="Arial" w:hAnsi="Arial" w:cs="Arial"/>
        </w:rPr>
        <w:t xml:space="preserve">allocated to </w:t>
      </w:r>
      <w:r>
        <w:rPr>
          <w:rFonts w:ascii="Arial" w:hAnsi="Arial" w:cs="Arial"/>
        </w:rPr>
        <w:t>the municipality over the medium term:</w:t>
      </w:r>
      <w:bookmarkStart w:id="38" w:name="_Toc287342445"/>
    </w:p>
    <w:p w:rsidR="00E56FBA" w:rsidRPr="00E56FBA" w:rsidRDefault="00E56FBA" w:rsidP="00E56FBA">
      <w:pPr>
        <w:spacing w:after="0" w:line="240" w:lineRule="auto"/>
        <w:jc w:val="both"/>
        <w:rPr>
          <w:rFonts w:ascii="Arial" w:hAnsi="Arial" w:cs="Arial"/>
        </w:rPr>
      </w:pPr>
    </w:p>
    <w:p w:rsidR="009C0219" w:rsidRDefault="009C0219" w:rsidP="002216E1">
      <w:pPr>
        <w:pStyle w:val="Caption"/>
      </w:pPr>
    </w:p>
    <w:p w:rsidR="009C0219" w:rsidRDefault="009C0219" w:rsidP="002216E1">
      <w:pPr>
        <w:pStyle w:val="Caption"/>
      </w:pPr>
    </w:p>
    <w:p w:rsidR="001C22D7" w:rsidRPr="001C22D7" w:rsidRDefault="002216E1" w:rsidP="002216E1">
      <w:pPr>
        <w:pStyle w:val="Caption"/>
        <w:rPr>
          <w:szCs w:val="22"/>
        </w:rPr>
      </w:pPr>
      <w:r>
        <w:t xml:space="preserve">Table </w:t>
      </w:r>
      <w:r w:rsidR="00951EB5">
        <w:fldChar w:fldCharType="begin"/>
      </w:r>
      <w:r w:rsidR="009F6B4A">
        <w:instrText xml:space="preserve"> SEQ Table \* ARABIC </w:instrText>
      </w:r>
      <w:r w:rsidR="00951EB5">
        <w:fldChar w:fldCharType="separate"/>
      </w:r>
      <w:r w:rsidR="00FB5E13">
        <w:rPr>
          <w:noProof/>
        </w:rPr>
        <w:t>4</w:t>
      </w:r>
      <w:r w:rsidR="00951EB5">
        <w:rPr>
          <w:noProof/>
        </w:rPr>
        <w:fldChar w:fldCharType="end"/>
      </w:r>
      <w:r>
        <w:t xml:space="preserve"> </w:t>
      </w:r>
      <w:r w:rsidR="001C22D7" w:rsidRPr="001C22D7">
        <w:rPr>
          <w:szCs w:val="22"/>
        </w:rPr>
        <w:t xml:space="preserve"> Operating Transfers and Grant Receipts</w:t>
      </w:r>
      <w:bookmarkEnd w:id="38"/>
    </w:p>
    <w:p w:rsidR="00B47E8A" w:rsidRDefault="009C0219" w:rsidP="00696DFA">
      <w:pPr>
        <w:spacing w:after="0" w:line="240" w:lineRule="auto"/>
        <w:jc w:val="both"/>
        <w:rPr>
          <w:rFonts w:ascii="Arial" w:hAnsi="Arial" w:cs="Arial"/>
        </w:rPr>
      </w:pPr>
      <w:r w:rsidRPr="009C0219">
        <w:rPr>
          <w:noProof/>
          <w:lang w:val="en-ZA" w:eastAsia="en-ZA"/>
        </w:rPr>
        <w:drawing>
          <wp:inline distT="0" distB="0" distL="0" distR="0">
            <wp:extent cx="5114925" cy="3686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4925" cy="3686175"/>
                    </a:xfrm>
                    <a:prstGeom prst="rect">
                      <a:avLst/>
                    </a:prstGeom>
                    <a:noFill/>
                    <a:ln>
                      <a:noFill/>
                    </a:ln>
                  </pic:spPr>
                </pic:pic>
              </a:graphicData>
            </a:graphic>
          </wp:inline>
        </w:drawing>
      </w:r>
    </w:p>
    <w:p w:rsidR="004F0644" w:rsidRDefault="004F0644" w:rsidP="007043B6">
      <w:pPr>
        <w:spacing w:after="0" w:line="240" w:lineRule="auto"/>
        <w:rPr>
          <w:rFonts w:ascii="Arial" w:hAnsi="Arial" w:cs="Arial"/>
        </w:rPr>
      </w:pPr>
    </w:p>
    <w:p w:rsidR="007043B6" w:rsidRDefault="007043B6" w:rsidP="007043B6">
      <w:pPr>
        <w:pStyle w:val="ListParagraph"/>
        <w:spacing w:after="0" w:line="240" w:lineRule="auto"/>
        <w:ind w:left="0"/>
        <w:jc w:val="both"/>
        <w:rPr>
          <w:rFonts w:ascii="Arial" w:hAnsi="Arial" w:cs="Arial"/>
        </w:rPr>
      </w:pPr>
      <w:r>
        <w:rPr>
          <w:rFonts w:ascii="Arial" w:hAnsi="Arial" w:cs="Arial"/>
        </w:rPr>
        <w:t>T</w:t>
      </w:r>
      <w:r w:rsidRPr="009407CB">
        <w:rPr>
          <w:rFonts w:ascii="Arial" w:hAnsi="Arial" w:cs="Arial"/>
        </w:rPr>
        <w:t>ariff-setting</w:t>
      </w:r>
      <w:r>
        <w:rPr>
          <w:rFonts w:ascii="Arial" w:hAnsi="Arial" w:cs="Arial"/>
        </w:rPr>
        <w:t xml:space="preserve"> is a pivotal </w:t>
      </w:r>
      <w:r w:rsidR="00EE364E">
        <w:rPr>
          <w:rFonts w:ascii="Arial" w:hAnsi="Arial" w:cs="Arial"/>
        </w:rPr>
        <w:t xml:space="preserve">and </w:t>
      </w:r>
      <w:r>
        <w:rPr>
          <w:rFonts w:ascii="Arial" w:hAnsi="Arial" w:cs="Arial"/>
        </w:rPr>
        <w:t xml:space="preserve">strategic part of the compilation of any budget. </w:t>
      </w:r>
      <w:r w:rsidR="00EE364E">
        <w:rPr>
          <w:rFonts w:ascii="Arial" w:hAnsi="Arial" w:cs="Arial"/>
        </w:rPr>
        <w:t xml:space="preserve"> </w:t>
      </w:r>
      <w:r>
        <w:rPr>
          <w:rFonts w:ascii="Arial" w:hAnsi="Arial" w:cs="Arial"/>
        </w:rPr>
        <w:t xml:space="preserve">When rates, tariffs and other charges </w:t>
      </w:r>
      <w:r w:rsidR="00EE364E">
        <w:rPr>
          <w:rFonts w:ascii="Arial" w:hAnsi="Arial" w:cs="Arial"/>
        </w:rPr>
        <w:t>were</w:t>
      </w:r>
      <w:r>
        <w:rPr>
          <w:rFonts w:ascii="Arial" w:hAnsi="Arial" w:cs="Arial"/>
        </w:rPr>
        <w:t xml:space="preserve"> revised, local economic conditions, input costs and the affordability of services </w:t>
      </w:r>
      <w:r w:rsidR="00EE364E">
        <w:rPr>
          <w:rFonts w:ascii="Arial" w:hAnsi="Arial" w:cs="Arial"/>
        </w:rPr>
        <w:t xml:space="preserve">were </w:t>
      </w:r>
      <w:r>
        <w:rPr>
          <w:rFonts w:ascii="Arial" w:hAnsi="Arial" w:cs="Arial"/>
        </w:rPr>
        <w:t xml:space="preserve">taken into account to ensure </w:t>
      </w:r>
      <w:r w:rsidR="00EE364E">
        <w:rPr>
          <w:rFonts w:ascii="Arial" w:hAnsi="Arial" w:cs="Arial"/>
        </w:rPr>
        <w:t xml:space="preserve">the </w:t>
      </w:r>
      <w:r>
        <w:rPr>
          <w:rFonts w:ascii="Arial" w:hAnsi="Arial" w:cs="Arial"/>
        </w:rPr>
        <w:t>fina</w:t>
      </w:r>
      <w:r w:rsidR="00017C14">
        <w:rPr>
          <w:rFonts w:ascii="Arial" w:hAnsi="Arial" w:cs="Arial"/>
        </w:rPr>
        <w:t>ncial sustainability of the Municipa</w:t>
      </w:r>
      <w:r w:rsidR="002B49DF">
        <w:rPr>
          <w:rFonts w:ascii="Arial" w:hAnsi="Arial" w:cs="Arial"/>
        </w:rPr>
        <w:t>l</w:t>
      </w:r>
      <w:r w:rsidR="00017C14">
        <w:rPr>
          <w:rFonts w:ascii="Arial" w:hAnsi="Arial" w:cs="Arial"/>
        </w:rPr>
        <w:t>ity</w:t>
      </w:r>
      <w:r>
        <w:rPr>
          <w:rFonts w:ascii="Arial" w:hAnsi="Arial" w:cs="Arial"/>
        </w:rPr>
        <w:t>.</w:t>
      </w:r>
    </w:p>
    <w:p w:rsidR="007043B6" w:rsidRDefault="007043B6" w:rsidP="007043B6">
      <w:pPr>
        <w:spacing w:after="0" w:line="240" w:lineRule="auto"/>
        <w:ind w:left="993"/>
        <w:jc w:val="both"/>
        <w:rPr>
          <w:rFonts w:ascii="Arial" w:hAnsi="Arial" w:cs="Arial"/>
        </w:rPr>
      </w:pPr>
    </w:p>
    <w:p w:rsidR="007043B6" w:rsidRDefault="007043B6" w:rsidP="007043B6">
      <w:pPr>
        <w:spacing w:after="0" w:line="240" w:lineRule="auto"/>
        <w:jc w:val="both"/>
        <w:rPr>
          <w:rFonts w:ascii="Arial" w:hAnsi="Arial" w:cs="Arial"/>
        </w:rPr>
      </w:pPr>
      <w:r>
        <w:rPr>
          <w:rFonts w:ascii="Arial" w:hAnsi="Arial" w:cs="Arial"/>
        </w:rPr>
        <w:t>N</w:t>
      </w:r>
      <w:r w:rsidR="001C22D7">
        <w:rPr>
          <w:rFonts w:ascii="Arial" w:hAnsi="Arial" w:cs="Arial"/>
        </w:rPr>
        <w:t xml:space="preserve">ational </w:t>
      </w:r>
      <w:r>
        <w:rPr>
          <w:rFonts w:ascii="Arial" w:hAnsi="Arial" w:cs="Arial"/>
        </w:rPr>
        <w:t>T</w:t>
      </w:r>
      <w:r w:rsidR="001C22D7">
        <w:rPr>
          <w:rFonts w:ascii="Arial" w:hAnsi="Arial" w:cs="Arial"/>
        </w:rPr>
        <w:t>reasury</w:t>
      </w:r>
      <w:r>
        <w:rPr>
          <w:rFonts w:ascii="Arial" w:hAnsi="Arial" w:cs="Arial"/>
        </w:rPr>
        <w:t xml:space="preserve"> continues to encourage municipalities to keep increases in rates, tariffs and other charges as low as possible.  </w:t>
      </w:r>
      <w:r w:rsidR="00895C50">
        <w:rPr>
          <w:rFonts w:ascii="Arial" w:hAnsi="Arial" w:cs="Arial"/>
        </w:rPr>
        <w:t>Mu</w:t>
      </w:r>
      <w:r>
        <w:rPr>
          <w:rFonts w:ascii="Arial" w:hAnsi="Arial" w:cs="Arial"/>
        </w:rPr>
        <w:t xml:space="preserve">nicipalities must justify in their budget documentation all increases in excess of </w:t>
      </w:r>
      <w:r w:rsidRPr="00250DB7">
        <w:rPr>
          <w:rFonts w:ascii="Arial" w:hAnsi="Arial" w:cs="Arial"/>
        </w:rPr>
        <w:t>the 6</w:t>
      </w:r>
      <w:r w:rsidR="00895C50">
        <w:rPr>
          <w:rFonts w:ascii="Arial" w:hAnsi="Arial" w:cs="Arial"/>
        </w:rPr>
        <w:t xml:space="preserve"> per cent u</w:t>
      </w:r>
      <w:r>
        <w:rPr>
          <w:rFonts w:ascii="Arial" w:hAnsi="Arial" w:cs="Arial"/>
        </w:rPr>
        <w:t>pper boundary of the South African Reserve Bank’s inflation target</w:t>
      </w:r>
      <w:r w:rsidRPr="00250DB7">
        <w:rPr>
          <w:rFonts w:ascii="Arial" w:hAnsi="Arial" w:cs="Arial"/>
        </w:rPr>
        <w:t>.</w:t>
      </w:r>
      <w:r>
        <w:rPr>
          <w:rFonts w:ascii="Arial" w:hAnsi="Arial" w:cs="Arial"/>
        </w:rPr>
        <w:t xml:space="preserve">  Excessive increases are likely to be counterproductive, resulting in higher levels of non-payment.</w:t>
      </w:r>
    </w:p>
    <w:p w:rsidR="007043B6" w:rsidRDefault="007043B6" w:rsidP="007043B6">
      <w:pPr>
        <w:spacing w:after="0" w:line="240" w:lineRule="auto"/>
        <w:ind w:left="993"/>
        <w:jc w:val="both"/>
        <w:rPr>
          <w:rFonts w:ascii="Arial" w:hAnsi="Arial" w:cs="Arial"/>
        </w:rPr>
      </w:pPr>
    </w:p>
    <w:p w:rsidR="007043B6" w:rsidRDefault="007043B6" w:rsidP="00895C50">
      <w:pPr>
        <w:spacing w:after="0" w:line="240" w:lineRule="auto"/>
        <w:jc w:val="both"/>
        <w:rPr>
          <w:rFonts w:ascii="Arial" w:hAnsi="Arial" w:cs="Arial"/>
        </w:rPr>
      </w:pPr>
      <w:r w:rsidRPr="004876F3">
        <w:rPr>
          <w:rFonts w:ascii="Arial" w:hAnsi="Arial" w:cs="Arial"/>
        </w:rPr>
        <w:t>The percentage increase</w:t>
      </w:r>
      <w:r w:rsidR="00017C14">
        <w:rPr>
          <w:rFonts w:ascii="Arial" w:hAnsi="Arial" w:cs="Arial"/>
        </w:rPr>
        <w:t>s of</w:t>
      </w:r>
      <w:r w:rsidR="00EE364E">
        <w:rPr>
          <w:rFonts w:ascii="Arial" w:hAnsi="Arial" w:cs="Arial"/>
        </w:rPr>
        <w:t xml:space="preserve"> </w:t>
      </w:r>
      <w:r w:rsidR="00017C14">
        <w:rPr>
          <w:rFonts w:ascii="Arial" w:hAnsi="Arial" w:cs="Arial"/>
        </w:rPr>
        <w:t>Eskom and</w:t>
      </w:r>
      <w:r w:rsidRPr="004876F3">
        <w:rPr>
          <w:rFonts w:ascii="Arial" w:hAnsi="Arial" w:cs="Arial"/>
        </w:rPr>
        <w:t xml:space="preserve"> bulk tariffs </w:t>
      </w:r>
      <w:r w:rsidR="00EE364E">
        <w:rPr>
          <w:rFonts w:ascii="Arial" w:hAnsi="Arial" w:cs="Arial"/>
        </w:rPr>
        <w:t>are</w:t>
      </w:r>
      <w:r w:rsidRPr="004876F3">
        <w:rPr>
          <w:rFonts w:ascii="Arial" w:hAnsi="Arial" w:cs="Arial"/>
        </w:rPr>
        <w:t xml:space="preserve"> far beyond the mentioned inflation target. </w:t>
      </w:r>
      <w:r w:rsidR="001C22D7">
        <w:rPr>
          <w:rFonts w:ascii="Arial" w:hAnsi="Arial" w:cs="Arial"/>
        </w:rPr>
        <w:t xml:space="preserve"> </w:t>
      </w:r>
      <w:r w:rsidR="00495C54">
        <w:rPr>
          <w:rFonts w:ascii="Arial" w:hAnsi="Arial" w:cs="Arial"/>
        </w:rPr>
        <w:t>Given that these tariff increases are determined by external agencies, the impact they have on the</w:t>
      </w:r>
      <w:r w:rsidR="00EE364E">
        <w:rPr>
          <w:rFonts w:ascii="Arial" w:hAnsi="Arial" w:cs="Arial"/>
        </w:rPr>
        <w:t xml:space="preserve"> municipality’s electricity and </w:t>
      </w:r>
      <w:r>
        <w:rPr>
          <w:rFonts w:ascii="Arial" w:hAnsi="Arial" w:cs="Arial"/>
        </w:rPr>
        <w:t xml:space="preserve">in </w:t>
      </w:r>
      <w:r w:rsidR="00EE364E">
        <w:rPr>
          <w:rFonts w:ascii="Arial" w:hAnsi="Arial" w:cs="Arial"/>
        </w:rPr>
        <w:t xml:space="preserve">these </w:t>
      </w:r>
      <w:r>
        <w:rPr>
          <w:rFonts w:ascii="Arial" w:hAnsi="Arial" w:cs="Arial"/>
        </w:rPr>
        <w:t>tariff</w:t>
      </w:r>
      <w:r w:rsidR="00EE364E">
        <w:rPr>
          <w:rFonts w:ascii="Arial" w:hAnsi="Arial" w:cs="Arial"/>
        </w:rPr>
        <w:t xml:space="preserve">s are largely </w:t>
      </w:r>
      <w:r w:rsidR="00017C14">
        <w:rPr>
          <w:rFonts w:ascii="Arial" w:hAnsi="Arial" w:cs="Arial"/>
        </w:rPr>
        <w:t>outside the control of the Municipality</w:t>
      </w:r>
      <w:r w:rsidR="00495C54">
        <w:rPr>
          <w:rFonts w:ascii="Arial" w:hAnsi="Arial" w:cs="Arial"/>
        </w:rPr>
        <w:t>.</w:t>
      </w:r>
      <w:r>
        <w:rPr>
          <w:rFonts w:ascii="Arial" w:hAnsi="Arial" w:cs="Arial"/>
        </w:rPr>
        <w:t xml:space="preserve">  Discounting the impact of these price increases in lower consum</w:t>
      </w:r>
      <w:r w:rsidR="00017C14">
        <w:rPr>
          <w:rFonts w:ascii="Arial" w:hAnsi="Arial" w:cs="Arial"/>
        </w:rPr>
        <w:t>er tariffs will erode the Municipality’s</w:t>
      </w:r>
      <w:r>
        <w:rPr>
          <w:rFonts w:ascii="Arial" w:hAnsi="Arial" w:cs="Arial"/>
        </w:rPr>
        <w:t xml:space="preserve"> future financial position and viability.</w:t>
      </w:r>
    </w:p>
    <w:p w:rsidR="007043B6" w:rsidRDefault="007043B6" w:rsidP="00895C50">
      <w:pPr>
        <w:spacing w:after="0" w:line="240" w:lineRule="auto"/>
        <w:ind w:left="993"/>
        <w:jc w:val="both"/>
        <w:rPr>
          <w:rFonts w:ascii="Arial" w:hAnsi="Arial" w:cs="Arial"/>
        </w:rPr>
      </w:pPr>
    </w:p>
    <w:p w:rsidR="00895C50" w:rsidRDefault="007043B6" w:rsidP="00895C50">
      <w:pPr>
        <w:spacing w:after="0" w:line="240" w:lineRule="auto"/>
        <w:jc w:val="both"/>
        <w:rPr>
          <w:rFonts w:ascii="Arial" w:hAnsi="Arial" w:cs="Arial"/>
        </w:rPr>
      </w:pPr>
      <w:r>
        <w:rPr>
          <w:rFonts w:ascii="Arial" w:hAnsi="Arial" w:cs="Arial"/>
        </w:rPr>
        <w:t>It must also be appreciated that the consumer price index, as measured by CPI</w:t>
      </w:r>
      <w:r w:rsidR="001C22D7">
        <w:rPr>
          <w:rFonts w:ascii="Arial" w:hAnsi="Arial" w:cs="Arial"/>
        </w:rPr>
        <w:t>,</w:t>
      </w:r>
      <w:r>
        <w:rPr>
          <w:rFonts w:ascii="Arial" w:hAnsi="Arial" w:cs="Arial"/>
        </w:rPr>
        <w:t xml:space="preserve"> is not a good measure of the cost increases of goods and services relevant to municipalities.  </w:t>
      </w:r>
      <w:r w:rsidRPr="00135858">
        <w:rPr>
          <w:rFonts w:ascii="Arial" w:hAnsi="Arial" w:cs="Arial"/>
        </w:rPr>
        <w:t xml:space="preserve">The </w:t>
      </w:r>
      <w:r w:rsidR="00895C50">
        <w:rPr>
          <w:rFonts w:ascii="Arial" w:hAnsi="Arial" w:cs="Arial"/>
        </w:rPr>
        <w:t xml:space="preserve">basket </w:t>
      </w:r>
      <w:r w:rsidRPr="00135858">
        <w:rPr>
          <w:rFonts w:ascii="Arial" w:hAnsi="Arial" w:cs="Arial"/>
        </w:rPr>
        <w:t xml:space="preserve">of goods and services </w:t>
      </w:r>
      <w:proofErr w:type="spellStart"/>
      <w:r w:rsidRPr="00135858">
        <w:rPr>
          <w:rFonts w:ascii="Arial" w:hAnsi="Arial" w:cs="Arial"/>
        </w:rPr>
        <w:t>u</w:t>
      </w:r>
      <w:r>
        <w:rPr>
          <w:rFonts w:ascii="Arial" w:hAnsi="Arial" w:cs="Arial"/>
        </w:rPr>
        <w:t>tilised</w:t>
      </w:r>
      <w:proofErr w:type="spellEnd"/>
      <w:r>
        <w:rPr>
          <w:rFonts w:ascii="Arial" w:hAnsi="Arial" w:cs="Arial"/>
        </w:rPr>
        <w:t xml:space="preserve"> </w:t>
      </w:r>
      <w:r w:rsidRPr="00135858">
        <w:rPr>
          <w:rFonts w:ascii="Arial" w:hAnsi="Arial" w:cs="Arial"/>
        </w:rPr>
        <w:t xml:space="preserve">for the calculation of the CPI consist of items such as food, petrol and medical services, whereas the </w:t>
      </w:r>
      <w:r>
        <w:rPr>
          <w:rFonts w:ascii="Arial" w:hAnsi="Arial" w:cs="Arial"/>
        </w:rPr>
        <w:t xml:space="preserve">cost drivers of a municipality </w:t>
      </w:r>
      <w:r w:rsidR="008F2BA9">
        <w:rPr>
          <w:rFonts w:ascii="Arial" w:hAnsi="Arial" w:cs="Arial"/>
        </w:rPr>
        <w:t>are</w:t>
      </w:r>
      <w:r>
        <w:rPr>
          <w:rFonts w:ascii="Arial" w:hAnsi="Arial" w:cs="Arial"/>
        </w:rPr>
        <w:t xml:space="preserve"> informed by items such as </w:t>
      </w:r>
      <w:r w:rsidR="00895C50">
        <w:rPr>
          <w:rFonts w:ascii="Arial" w:hAnsi="Arial" w:cs="Arial"/>
        </w:rPr>
        <w:t xml:space="preserve">the </w:t>
      </w:r>
      <w:r w:rsidRPr="00135858">
        <w:rPr>
          <w:rFonts w:ascii="Arial" w:hAnsi="Arial" w:cs="Arial"/>
        </w:rPr>
        <w:t>cost of remuneration, bulk purchases of electricity</w:t>
      </w:r>
      <w:r>
        <w:rPr>
          <w:rFonts w:ascii="Arial" w:hAnsi="Arial" w:cs="Arial"/>
        </w:rPr>
        <w:t xml:space="preserve"> and </w:t>
      </w:r>
      <w:r w:rsidRPr="00135858">
        <w:rPr>
          <w:rFonts w:ascii="Arial" w:hAnsi="Arial" w:cs="Arial"/>
        </w:rPr>
        <w:t>water, petrol, diesel</w:t>
      </w:r>
      <w:r w:rsidR="001C22D7">
        <w:rPr>
          <w:rFonts w:ascii="Arial" w:hAnsi="Arial" w:cs="Arial"/>
        </w:rPr>
        <w:t>, chemicals, cement</w:t>
      </w:r>
      <w:r w:rsidRPr="00135858">
        <w:rPr>
          <w:rFonts w:ascii="Arial" w:hAnsi="Arial" w:cs="Arial"/>
        </w:rPr>
        <w:t xml:space="preserve"> etc.</w:t>
      </w:r>
      <w:r w:rsidR="00495C54">
        <w:rPr>
          <w:rFonts w:ascii="Arial" w:hAnsi="Arial" w:cs="Arial"/>
        </w:rPr>
        <w:t xml:space="preserve"> </w:t>
      </w:r>
      <w:r w:rsidR="00895C50" w:rsidRPr="00895C50">
        <w:rPr>
          <w:rFonts w:ascii="Arial" w:hAnsi="Arial" w:cs="Arial"/>
        </w:rPr>
        <w:t xml:space="preserve"> </w:t>
      </w:r>
      <w:r w:rsidR="00895C50">
        <w:rPr>
          <w:rFonts w:ascii="Arial" w:hAnsi="Arial" w:cs="Arial"/>
        </w:rPr>
        <w:t>The c</w:t>
      </w:r>
      <w:r w:rsidR="00017C14">
        <w:rPr>
          <w:rFonts w:ascii="Arial" w:hAnsi="Arial" w:cs="Arial"/>
        </w:rPr>
        <w:t>urrent challenge facing the Municipality</w:t>
      </w:r>
      <w:r w:rsidR="00895C50">
        <w:rPr>
          <w:rFonts w:ascii="Arial" w:hAnsi="Arial" w:cs="Arial"/>
        </w:rPr>
        <w:t xml:space="preserve"> is managing the gap between cost drivers and tariffs levied, as any shortfall must be made up by either operational efficiency gains or service level reductions.</w:t>
      </w:r>
      <w:r w:rsidR="001C22D7">
        <w:rPr>
          <w:rFonts w:ascii="Arial" w:hAnsi="Arial" w:cs="Arial"/>
        </w:rPr>
        <w:t xml:space="preserve"> </w:t>
      </w:r>
      <w:r w:rsidR="00895C50">
        <w:rPr>
          <w:rFonts w:ascii="Arial" w:hAnsi="Arial" w:cs="Arial"/>
        </w:rPr>
        <w:t xml:space="preserve"> Within this framework the </w:t>
      </w:r>
      <w:r w:rsidR="00017C14">
        <w:rPr>
          <w:rFonts w:ascii="Arial" w:hAnsi="Arial" w:cs="Arial"/>
        </w:rPr>
        <w:t>Municipality</w:t>
      </w:r>
      <w:r w:rsidR="001C22D7">
        <w:rPr>
          <w:rFonts w:ascii="Arial" w:hAnsi="Arial" w:cs="Arial"/>
        </w:rPr>
        <w:t xml:space="preserve"> </w:t>
      </w:r>
      <w:r w:rsidR="00895C50">
        <w:rPr>
          <w:rFonts w:ascii="Arial" w:hAnsi="Arial" w:cs="Arial"/>
        </w:rPr>
        <w:t>has undertaken the tariff setting proc</w:t>
      </w:r>
      <w:r w:rsidR="008F2BA9">
        <w:rPr>
          <w:rFonts w:ascii="Arial" w:hAnsi="Arial" w:cs="Arial"/>
        </w:rPr>
        <w:t>ess relating to service charges as follows.</w:t>
      </w:r>
    </w:p>
    <w:p w:rsidR="00923B60" w:rsidRPr="008D6BA7" w:rsidRDefault="00923B60" w:rsidP="00C8149B">
      <w:pPr>
        <w:pStyle w:val="Heading3"/>
        <w:rPr>
          <w:rFonts w:ascii="Arial" w:hAnsi="Arial" w:cs="Arial"/>
          <w:color w:val="auto"/>
        </w:rPr>
      </w:pPr>
      <w:bookmarkStart w:id="39" w:name="_Toc286034094"/>
      <w:bookmarkStart w:id="40" w:name="_Toc286034685"/>
      <w:r w:rsidRPr="008D6BA7">
        <w:rPr>
          <w:rFonts w:ascii="Arial" w:hAnsi="Arial" w:cs="Arial"/>
          <w:color w:val="auto"/>
        </w:rPr>
        <w:t>Property Rates</w:t>
      </w:r>
      <w:bookmarkEnd w:id="39"/>
      <w:bookmarkEnd w:id="40"/>
    </w:p>
    <w:p w:rsidR="00923B60" w:rsidRDefault="00923B60" w:rsidP="00C8149B">
      <w:pPr>
        <w:spacing w:after="0" w:line="240" w:lineRule="auto"/>
        <w:jc w:val="both"/>
        <w:rPr>
          <w:rFonts w:ascii="Arial" w:hAnsi="Arial" w:cs="Arial"/>
        </w:rPr>
      </w:pPr>
    </w:p>
    <w:p w:rsidR="00895C50" w:rsidRDefault="00923B60" w:rsidP="00C8149B">
      <w:pPr>
        <w:spacing w:after="0" w:line="240" w:lineRule="auto"/>
        <w:jc w:val="both"/>
        <w:rPr>
          <w:rFonts w:ascii="Arial" w:hAnsi="Arial" w:cs="Arial"/>
        </w:rPr>
      </w:pPr>
      <w:r>
        <w:rPr>
          <w:rFonts w:ascii="Arial" w:hAnsi="Arial" w:cs="Arial"/>
        </w:rPr>
        <w:t xml:space="preserve">Property rates cover </w:t>
      </w:r>
      <w:r w:rsidR="00895C50">
        <w:rPr>
          <w:rFonts w:ascii="Arial" w:hAnsi="Arial" w:cs="Arial"/>
        </w:rPr>
        <w:t xml:space="preserve">the </w:t>
      </w:r>
      <w:r w:rsidR="0020488F">
        <w:rPr>
          <w:rFonts w:ascii="Arial" w:hAnsi="Arial" w:cs="Arial"/>
        </w:rPr>
        <w:t>cost of</w:t>
      </w:r>
      <w:r w:rsidR="00895C50">
        <w:rPr>
          <w:rFonts w:ascii="Arial" w:hAnsi="Arial" w:cs="Arial"/>
        </w:rPr>
        <w:t xml:space="preserve"> the provision of general services.  Determining the effective property rate tariff is therefore an integral part of the municipality’s budgeting process.</w:t>
      </w:r>
    </w:p>
    <w:p w:rsidR="00895C50" w:rsidRDefault="00895C50" w:rsidP="00C8149B">
      <w:pPr>
        <w:spacing w:after="0" w:line="240" w:lineRule="auto"/>
        <w:jc w:val="both"/>
        <w:rPr>
          <w:rFonts w:ascii="Arial" w:hAnsi="Arial" w:cs="Arial"/>
        </w:rPr>
      </w:pPr>
    </w:p>
    <w:p w:rsidR="00895C50" w:rsidRDefault="00895C50" w:rsidP="00C8149B">
      <w:pPr>
        <w:autoSpaceDE w:val="0"/>
        <w:autoSpaceDN w:val="0"/>
        <w:spacing w:after="0" w:line="240" w:lineRule="auto"/>
        <w:jc w:val="both"/>
        <w:rPr>
          <w:rFonts w:ascii="Arial" w:hAnsi="Arial" w:cs="Arial"/>
        </w:rPr>
      </w:pPr>
      <w:r>
        <w:rPr>
          <w:rFonts w:ascii="Arial" w:hAnsi="Arial" w:cs="Arial"/>
        </w:rPr>
        <w:t>National Treasury’s MFMA Circular No. 51 deals, inter alia with the implementation of the Municipal Property Rates Act, with the regulations issued by the Department of Co</w:t>
      </w:r>
      <w:r w:rsidR="00495C54">
        <w:rPr>
          <w:rFonts w:ascii="Arial" w:hAnsi="Arial" w:cs="Arial"/>
        </w:rPr>
        <w:t>-</w:t>
      </w:r>
      <w:r>
        <w:rPr>
          <w:rFonts w:ascii="Arial" w:hAnsi="Arial" w:cs="Arial"/>
        </w:rPr>
        <w:t>operative Governance.  These regulations came into effect on 1 July 2009 and prescribe the rate ratio for the non-residential categories, public service infrastructure and agricultural properties relative to residential properties to be 0</w:t>
      </w:r>
      <w:proofErr w:type="gramStart"/>
      <w:r>
        <w:rPr>
          <w:rFonts w:ascii="Arial" w:hAnsi="Arial" w:cs="Arial"/>
        </w:rPr>
        <w:t>,25:1</w:t>
      </w:r>
      <w:proofErr w:type="gramEnd"/>
      <w:r>
        <w:rPr>
          <w:rFonts w:ascii="Arial" w:hAnsi="Arial" w:cs="Arial"/>
        </w:rPr>
        <w:t xml:space="preserve">.  The </w:t>
      </w:r>
      <w:r w:rsidR="00495C54">
        <w:rPr>
          <w:rFonts w:ascii="Arial" w:hAnsi="Arial" w:cs="Arial"/>
        </w:rPr>
        <w:t xml:space="preserve">implementation of these </w:t>
      </w:r>
      <w:r>
        <w:rPr>
          <w:rFonts w:ascii="Arial" w:hAnsi="Arial" w:cs="Arial"/>
        </w:rPr>
        <w:t xml:space="preserve">regulations </w:t>
      </w:r>
      <w:r w:rsidR="00495C54">
        <w:rPr>
          <w:rFonts w:ascii="Arial" w:hAnsi="Arial" w:cs="Arial"/>
        </w:rPr>
        <w:t>was done in</w:t>
      </w:r>
      <w:r>
        <w:rPr>
          <w:rFonts w:ascii="Arial" w:hAnsi="Arial" w:cs="Arial"/>
        </w:rPr>
        <w:t xml:space="preserve"> the previous budget process and the Property Rates Policy of the Municipality has been amended accordingly.</w:t>
      </w:r>
    </w:p>
    <w:p w:rsidR="00895C50" w:rsidRDefault="00895C50" w:rsidP="00C8149B">
      <w:pPr>
        <w:autoSpaceDE w:val="0"/>
        <w:autoSpaceDN w:val="0"/>
        <w:adjustRightInd w:val="0"/>
        <w:spacing w:after="0" w:line="240" w:lineRule="auto"/>
        <w:jc w:val="both"/>
        <w:rPr>
          <w:rFonts w:ascii="Arial" w:hAnsi="Arial" w:cs="Arial"/>
        </w:rPr>
      </w:pPr>
    </w:p>
    <w:p w:rsidR="00895C50" w:rsidRDefault="00895C50" w:rsidP="00C8149B">
      <w:pPr>
        <w:spacing w:after="0" w:line="240" w:lineRule="auto"/>
        <w:jc w:val="both"/>
        <w:rPr>
          <w:rFonts w:ascii="Arial" w:hAnsi="Arial" w:cs="Arial"/>
        </w:rPr>
      </w:pPr>
      <w:r w:rsidRPr="009903A1">
        <w:rPr>
          <w:rFonts w:ascii="Arial" w:hAnsi="Arial" w:cs="Arial"/>
          <w:color w:val="000000"/>
        </w:rPr>
        <w:t>The following stipulations in the Property</w:t>
      </w:r>
      <w:r>
        <w:rPr>
          <w:rFonts w:ascii="Arial" w:hAnsi="Arial" w:cs="Arial"/>
        </w:rPr>
        <w:t xml:space="preserve"> Rates Policy are highlighted:</w:t>
      </w:r>
    </w:p>
    <w:p w:rsidR="00895C50" w:rsidRDefault="00895C50" w:rsidP="00C8149B">
      <w:pPr>
        <w:spacing w:after="0" w:line="240" w:lineRule="auto"/>
        <w:jc w:val="both"/>
        <w:rPr>
          <w:rFonts w:ascii="Arial" w:hAnsi="Arial" w:cs="Arial"/>
        </w:rPr>
      </w:pPr>
    </w:p>
    <w:p w:rsidR="00895C50" w:rsidRPr="00CD4D7B" w:rsidRDefault="00EB2A67"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The first R30</w:t>
      </w:r>
      <w:r w:rsidR="00895C50" w:rsidRPr="00B234BC">
        <w:rPr>
          <w:rFonts w:ascii="Arial" w:hAnsi="Arial" w:cs="Arial"/>
        </w:rPr>
        <w:t> 000 of the market value of a property used for residential purposes is excluded from the rat</w:t>
      </w:r>
      <w:r w:rsidR="0020488F">
        <w:rPr>
          <w:rFonts w:ascii="Arial" w:hAnsi="Arial" w:cs="Arial"/>
        </w:rPr>
        <w:t>e-</w:t>
      </w:r>
      <w:r w:rsidR="00895C50" w:rsidRPr="00B234BC">
        <w:rPr>
          <w:rFonts w:ascii="Arial" w:hAnsi="Arial" w:cs="Arial"/>
        </w:rPr>
        <w:t xml:space="preserve">able value (Section 17(h) of </w:t>
      </w:r>
      <w:r>
        <w:rPr>
          <w:rFonts w:ascii="Arial" w:hAnsi="Arial" w:cs="Arial"/>
        </w:rPr>
        <w:t xml:space="preserve">the MPRA).  </w:t>
      </w:r>
    </w:p>
    <w:p w:rsidR="00895C50" w:rsidRPr="00CD4D7B" w:rsidRDefault="00EB2A67" w:rsidP="00E50C0E">
      <w:pPr>
        <w:numPr>
          <w:ilvl w:val="0"/>
          <w:numId w:val="5"/>
        </w:numPr>
        <w:tabs>
          <w:tab w:val="clear" w:pos="720"/>
        </w:tabs>
        <w:spacing w:after="0" w:line="240" w:lineRule="auto"/>
        <w:ind w:left="709" w:hanging="709"/>
        <w:jc w:val="both"/>
        <w:rPr>
          <w:rFonts w:ascii="Arial" w:hAnsi="Arial" w:cs="Arial"/>
        </w:rPr>
      </w:pPr>
      <w:r>
        <w:rPr>
          <w:rFonts w:ascii="Arial" w:hAnsi="Arial" w:cs="Arial"/>
        </w:rPr>
        <w:t>43 pe</w:t>
      </w:r>
      <w:r w:rsidR="00495C54">
        <w:rPr>
          <w:rFonts w:ascii="Arial" w:hAnsi="Arial" w:cs="Arial"/>
        </w:rPr>
        <w:t xml:space="preserve">r cent </w:t>
      </w:r>
      <w:r w:rsidR="00895C50" w:rsidRPr="00B234BC">
        <w:rPr>
          <w:rFonts w:ascii="Arial" w:hAnsi="Arial" w:cs="Arial"/>
        </w:rPr>
        <w:t>rebate will be granted on all reside</w:t>
      </w:r>
      <w:r w:rsidR="00017C14">
        <w:rPr>
          <w:rFonts w:ascii="Arial" w:hAnsi="Arial" w:cs="Arial"/>
        </w:rPr>
        <w:t>ntial properties (including</w:t>
      </w:r>
      <w:r w:rsidR="00895C50">
        <w:rPr>
          <w:rFonts w:ascii="Arial" w:hAnsi="Arial" w:cs="Arial"/>
        </w:rPr>
        <w:t xml:space="preserve"> residential</w:t>
      </w:r>
      <w:r w:rsidR="00017C14">
        <w:rPr>
          <w:rFonts w:ascii="Arial" w:hAnsi="Arial" w:cs="Arial"/>
        </w:rPr>
        <w:t xml:space="preserve"> hospitality</w:t>
      </w:r>
      <w:r w:rsidR="00895C50">
        <w:rPr>
          <w:rFonts w:ascii="Arial" w:hAnsi="Arial" w:cs="Arial"/>
        </w:rPr>
        <w:t xml:space="preserve"> properties);</w:t>
      </w:r>
    </w:p>
    <w:p w:rsidR="00895C50" w:rsidRDefault="00895C50" w:rsidP="00C8149B">
      <w:pPr>
        <w:numPr>
          <w:ilvl w:val="0"/>
          <w:numId w:val="5"/>
        </w:numPr>
        <w:tabs>
          <w:tab w:val="clear" w:pos="720"/>
        </w:tabs>
        <w:spacing w:after="0" w:line="240" w:lineRule="auto"/>
        <w:ind w:left="709" w:hanging="709"/>
        <w:jc w:val="both"/>
        <w:rPr>
          <w:rFonts w:ascii="Arial" w:hAnsi="Arial" w:cs="Arial"/>
        </w:rPr>
      </w:pPr>
      <w:r w:rsidRPr="00B234BC">
        <w:rPr>
          <w:rFonts w:ascii="Arial" w:hAnsi="Arial" w:cs="Arial"/>
        </w:rPr>
        <w:t>100</w:t>
      </w:r>
      <w:r w:rsidR="00495C54">
        <w:rPr>
          <w:rFonts w:ascii="Arial" w:hAnsi="Arial" w:cs="Arial"/>
        </w:rPr>
        <w:t xml:space="preserve"> per cent </w:t>
      </w:r>
      <w:r w:rsidRPr="00B234BC">
        <w:rPr>
          <w:rFonts w:ascii="Arial" w:hAnsi="Arial" w:cs="Arial"/>
        </w:rPr>
        <w:t>rebate will be granted to registered indigents in terms of</w:t>
      </w:r>
      <w:r w:rsidR="00495C54">
        <w:rPr>
          <w:rFonts w:ascii="Arial" w:hAnsi="Arial" w:cs="Arial"/>
        </w:rPr>
        <w:t xml:space="preserve"> the Indigent Policy</w:t>
      </w:r>
      <w:r>
        <w:rPr>
          <w:rFonts w:ascii="Arial" w:hAnsi="Arial" w:cs="Arial"/>
        </w:rPr>
        <w:t>;</w:t>
      </w:r>
    </w:p>
    <w:p w:rsidR="00017C14" w:rsidRDefault="00017C14" w:rsidP="00C8149B">
      <w:pPr>
        <w:numPr>
          <w:ilvl w:val="0"/>
          <w:numId w:val="5"/>
        </w:numPr>
        <w:tabs>
          <w:tab w:val="clear" w:pos="720"/>
        </w:tabs>
        <w:spacing w:after="0" w:line="240" w:lineRule="auto"/>
        <w:ind w:left="709" w:hanging="709"/>
        <w:jc w:val="both"/>
        <w:rPr>
          <w:rFonts w:ascii="Arial" w:hAnsi="Arial" w:cs="Arial"/>
        </w:rPr>
      </w:pPr>
      <w:r>
        <w:rPr>
          <w:rFonts w:ascii="Arial" w:hAnsi="Arial" w:cs="Arial"/>
        </w:rPr>
        <w:t>On Commer</w:t>
      </w:r>
      <w:r w:rsidR="007033A4">
        <w:rPr>
          <w:rFonts w:ascii="Arial" w:hAnsi="Arial" w:cs="Arial"/>
        </w:rPr>
        <w:t>c</w:t>
      </w:r>
      <w:r w:rsidR="00EB2A67">
        <w:rPr>
          <w:rFonts w:ascii="Arial" w:hAnsi="Arial" w:cs="Arial"/>
        </w:rPr>
        <w:t>ial properties, an average of 21</w:t>
      </w:r>
      <w:r w:rsidR="007033A4">
        <w:rPr>
          <w:rFonts w:ascii="Arial" w:hAnsi="Arial" w:cs="Arial"/>
        </w:rPr>
        <w:t>% rebate;</w:t>
      </w:r>
    </w:p>
    <w:p w:rsidR="007033A4" w:rsidRDefault="007033A4" w:rsidP="00C8149B">
      <w:pPr>
        <w:numPr>
          <w:ilvl w:val="0"/>
          <w:numId w:val="5"/>
        </w:numPr>
        <w:tabs>
          <w:tab w:val="clear" w:pos="720"/>
        </w:tabs>
        <w:spacing w:after="0" w:line="240" w:lineRule="auto"/>
        <w:ind w:left="709" w:hanging="709"/>
        <w:jc w:val="both"/>
        <w:rPr>
          <w:rFonts w:ascii="Arial" w:hAnsi="Arial" w:cs="Arial"/>
        </w:rPr>
      </w:pPr>
      <w:r>
        <w:rPr>
          <w:rFonts w:ascii="Arial" w:hAnsi="Arial" w:cs="Arial"/>
        </w:rPr>
        <w:t>Industr</w:t>
      </w:r>
      <w:r w:rsidR="00EB2A67">
        <w:rPr>
          <w:rFonts w:ascii="Arial" w:hAnsi="Arial" w:cs="Arial"/>
        </w:rPr>
        <w:t>ial properties, an average of 27</w:t>
      </w:r>
      <w:r>
        <w:rPr>
          <w:rFonts w:ascii="Arial" w:hAnsi="Arial" w:cs="Arial"/>
        </w:rPr>
        <w:t>% rebate;</w:t>
      </w:r>
    </w:p>
    <w:p w:rsidR="007033A4" w:rsidRDefault="007033A4" w:rsidP="00C8149B">
      <w:pPr>
        <w:numPr>
          <w:ilvl w:val="0"/>
          <w:numId w:val="5"/>
        </w:numPr>
        <w:tabs>
          <w:tab w:val="clear" w:pos="720"/>
        </w:tabs>
        <w:spacing w:after="0" w:line="240" w:lineRule="auto"/>
        <w:ind w:left="709" w:hanging="709"/>
        <w:jc w:val="both"/>
        <w:rPr>
          <w:rFonts w:ascii="Arial" w:hAnsi="Arial" w:cs="Arial"/>
        </w:rPr>
      </w:pPr>
      <w:r>
        <w:rPr>
          <w:rFonts w:ascii="Arial" w:hAnsi="Arial" w:cs="Arial"/>
        </w:rPr>
        <w:t>Agriculture properties, 20% rebate;</w:t>
      </w:r>
    </w:p>
    <w:p w:rsidR="007033A4" w:rsidRDefault="007033A4" w:rsidP="00C8149B">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Public Service Infrastructure, 30% rebate; and </w:t>
      </w:r>
    </w:p>
    <w:p w:rsidR="007033A4" w:rsidRPr="00017C14" w:rsidRDefault="00EB2A67" w:rsidP="00C8149B">
      <w:pPr>
        <w:numPr>
          <w:ilvl w:val="0"/>
          <w:numId w:val="5"/>
        </w:numPr>
        <w:tabs>
          <w:tab w:val="clear" w:pos="720"/>
        </w:tabs>
        <w:spacing w:after="0" w:line="240" w:lineRule="auto"/>
        <w:ind w:left="709" w:hanging="709"/>
        <w:jc w:val="both"/>
        <w:rPr>
          <w:rFonts w:ascii="Arial" w:hAnsi="Arial" w:cs="Arial"/>
        </w:rPr>
      </w:pPr>
      <w:r>
        <w:rPr>
          <w:rFonts w:ascii="Arial" w:hAnsi="Arial" w:cs="Arial"/>
        </w:rPr>
        <w:t xml:space="preserve">And 5% </w:t>
      </w:r>
      <w:r w:rsidR="007033A4">
        <w:rPr>
          <w:rFonts w:ascii="Arial" w:hAnsi="Arial" w:cs="Arial"/>
        </w:rPr>
        <w:t>rebate is given to the State Owned Properties.</w:t>
      </w:r>
    </w:p>
    <w:p w:rsidR="00895C50" w:rsidRDefault="00895C50" w:rsidP="00C8149B">
      <w:pPr>
        <w:spacing w:after="0" w:line="240" w:lineRule="auto"/>
        <w:jc w:val="both"/>
        <w:rPr>
          <w:rFonts w:ascii="Arial" w:hAnsi="Arial" w:cs="Arial"/>
        </w:rPr>
      </w:pPr>
    </w:p>
    <w:p w:rsidR="00895C50" w:rsidRDefault="00895C50" w:rsidP="00C8149B">
      <w:pPr>
        <w:spacing w:after="0" w:line="240" w:lineRule="auto"/>
        <w:jc w:val="both"/>
        <w:rPr>
          <w:rFonts w:ascii="Arial" w:hAnsi="Arial" w:cs="Arial"/>
        </w:rPr>
      </w:pPr>
      <w:r>
        <w:rPr>
          <w:rFonts w:ascii="Arial" w:hAnsi="Arial" w:cs="Arial"/>
        </w:rPr>
        <w:t>The categories of rate-able properties for purposes of levying rates and the proposed rates</w:t>
      </w:r>
      <w:r w:rsidR="00F805E3">
        <w:rPr>
          <w:rFonts w:ascii="Arial" w:hAnsi="Arial" w:cs="Arial"/>
        </w:rPr>
        <w:t xml:space="preserve"> for the </w:t>
      </w:r>
      <w:r w:rsidR="004454A3">
        <w:rPr>
          <w:rFonts w:ascii="Arial" w:hAnsi="Arial" w:cs="Arial"/>
        </w:rPr>
        <w:t>2019/20</w:t>
      </w:r>
      <w:r w:rsidR="00CD4D7B">
        <w:rPr>
          <w:rFonts w:ascii="Arial" w:hAnsi="Arial" w:cs="Arial"/>
        </w:rPr>
        <w:t xml:space="preserve"> financial year </w:t>
      </w:r>
      <w:r>
        <w:rPr>
          <w:rFonts w:ascii="Arial" w:hAnsi="Arial" w:cs="Arial"/>
        </w:rPr>
        <w:t xml:space="preserve">based on a </w:t>
      </w:r>
      <w:r w:rsidR="00F805E3">
        <w:rPr>
          <w:rFonts w:ascii="Arial" w:hAnsi="Arial" w:cs="Arial"/>
        </w:rPr>
        <w:t>5</w:t>
      </w:r>
      <w:r w:rsidR="004454A3">
        <w:rPr>
          <w:rFonts w:ascii="Arial" w:hAnsi="Arial" w:cs="Arial"/>
        </w:rPr>
        <w:t>.2</w:t>
      </w:r>
      <w:r w:rsidR="00686719">
        <w:rPr>
          <w:rFonts w:ascii="Arial" w:hAnsi="Arial" w:cs="Arial"/>
        </w:rPr>
        <w:t xml:space="preserve"> per cent </w:t>
      </w:r>
      <w:r w:rsidR="004454A3">
        <w:rPr>
          <w:rFonts w:ascii="Arial" w:hAnsi="Arial" w:cs="Arial"/>
        </w:rPr>
        <w:t>increase</w:t>
      </w:r>
      <w:r w:rsidR="00F805E3">
        <w:rPr>
          <w:rFonts w:ascii="Arial" w:hAnsi="Arial" w:cs="Arial"/>
        </w:rPr>
        <w:t xml:space="preserve"> on rebates</w:t>
      </w:r>
      <w:r>
        <w:rPr>
          <w:rFonts w:ascii="Arial" w:hAnsi="Arial" w:cs="Arial"/>
        </w:rPr>
        <w:t xml:space="preserve"> from 1 July 201</w:t>
      </w:r>
      <w:r w:rsidR="004454A3">
        <w:rPr>
          <w:rFonts w:ascii="Arial" w:hAnsi="Arial" w:cs="Arial"/>
        </w:rPr>
        <w:t>9</w:t>
      </w:r>
      <w:r w:rsidR="00CD4D7B">
        <w:rPr>
          <w:rFonts w:ascii="Arial" w:hAnsi="Arial" w:cs="Arial"/>
        </w:rPr>
        <w:t xml:space="preserve"> is contained below</w:t>
      </w:r>
      <w:r>
        <w:rPr>
          <w:rFonts w:ascii="Arial" w:hAnsi="Arial" w:cs="Arial"/>
        </w:rPr>
        <w:t>:</w:t>
      </w: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F44542" w:rsidRDefault="00F44542" w:rsidP="00C8149B">
      <w:pPr>
        <w:spacing w:after="0" w:line="240" w:lineRule="auto"/>
        <w:jc w:val="both"/>
        <w:rPr>
          <w:rFonts w:ascii="Arial" w:hAnsi="Arial" w:cs="Arial"/>
        </w:rPr>
      </w:pPr>
    </w:p>
    <w:p w:rsidR="0020488F" w:rsidRDefault="0020488F" w:rsidP="0020488F">
      <w:pPr>
        <w:spacing w:after="0" w:line="240" w:lineRule="auto"/>
        <w:jc w:val="both"/>
        <w:rPr>
          <w:rFonts w:ascii="Arial" w:hAnsi="Arial" w:cs="Arial"/>
          <w:i/>
          <w:sz w:val="20"/>
          <w:szCs w:val="20"/>
        </w:rPr>
      </w:pPr>
    </w:p>
    <w:p w:rsidR="0020488F" w:rsidRDefault="002216E1" w:rsidP="00535807">
      <w:pPr>
        <w:pStyle w:val="Caption"/>
        <w:keepNext/>
        <w:keepLines/>
        <w:rPr>
          <w:szCs w:val="22"/>
        </w:rPr>
      </w:pPr>
      <w:bookmarkStart w:id="41" w:name="_Toc287342446"/>
      <w:r>
        <w:t xml:space="preserve">Table </w:t>
      </w:r>
      <w:r w:rsidR="00951EB5">
        <w:fldChar w:fldCharType="begin"/>
      </w:r>
      <w:r w:rsidR="009F6B4A">
        <w:instrText xml:space="preserve"> SEQ Table \* ARABIC </w:instrText>
      </w:r>
      <w:r w:rsidR="00951EB5">
        <w:fldChar w:fldCharType="separate"/>
      </w:r>
      <w:r w:rsidR="00FB5E13">
        <w:rPr>
          <w:noProof/>
        </w:rPr>
        <w:t>5</w:t>
      </w:r>
      <w:r w:rsidR="00951EB5">
        <w:rPr>
          <w:noProof/>
        </w:rPr>
        <w:fldChar w:fldCharType="end"/>
      </w:r>
      <w:r>
        <w:t xml:space="preserve"> </w:t>
      </w:r>
      <w:r w:rsidR="0020488F" w:rsidRPr="0020488F">
        <w:rPr>
          <w:szCs w:val="22"/>
        </w:rPr>
        <w:t xml:space="preserve"> Comparison of proposed</w:t>
      </w:r>
      <w:r w:rsidR="00F805E3">
        <w:rPr>
          <w:szCs w:val="22"/>
        </w:rPr>
        <w:t xml:space="preserve"> rates to levied for the </w:t>
      </w:r>
      <w:r w:rsidR="004454A3">
        <w:rPr>
          <w:szCs w:val="22"/>
        </w:rPr>
        <w:t>2019/20</w:t>
      </w:r>
      <w:r w:rsidR="0020488F" w:rsidRPr="0020488F">
        <w:rPr>
          <w:szCs w:val="22"/>
        </w:rPr>
        <w:t xml:space="preserve"> financial year</w:t>
      </w:r>
      <w:bookmarkEnd w:id="41"/>
    </w:p>
    <w:p w:rsidR="004F7739" w:rsidRDefault="004F7739" w:rsidP="004F7739"/>
    <w:p w:rsidR="004F7739" w:rsidRPr="004F7739" w:rsidRDefault="004F7739" w:rsidP="004F7739"/>
    <w:p w:rsidR="006264AC" w:rsidRPr="006264AC" w:rsidRDefault="006264AC" w:rsidP="006264AC">
      <w:pPr>
        <w:rPr>
          <w:rFonts w:ascii="Calibri" w:eastAsia="Calibri" w:hAnsi="Calibri" w:cs="Times New Roman"/>
          <w:b/>
          <w:sz w:val="24"/>
          <w:szCs w:val="24"/>
          <w:lang w:val="en-ZA"/>
        </w:rPr>
      </w:pPr>
      <w:r w:rsidRPr="00941E6C">
        <w:rPr>
          <w:rFonts w:ascii="Calibri" w:eastAsia="Calibri" w:hAnsi="Calibri" w:cs="Times New Roman"/>
          <w:b/>
          <w:sz w:val="24"/>
          <w:szCs w:val="24"/>
          <w:lang w:val="en-ZA"/>
        </w:rPr>
        <w:t>RATES RANDAGE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2043"/>
        <w:gridCol w:w="1813"/>
        <w:gridCol w:w="1577"/>
        <w:gridCol w:w="1853"/>
      </w:tblGrid>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Category</w:t>
            </w:r>
          </w:p>
        </w:tc>
        <w:tc>
          <w:tcPr>
            <w:tcW w:w="2078"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Impermissible</w:t>
            </w:r>
          </w:p>
        </w:tc>
        <w:tc>
          <w:tcPr>
            <w:tcW w:w="1887"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Rebate</w:t>
            </w:r>
          </w:p>
        </w:tc>
        <w:tc>
          <w:tcPr>
            <w:tcW w:w="1604" w:type="dxa"/>
          </w:tcPr>
          <w:p w:rsidR="006264AC" w:rsidRDefault="006264AC" w:rsidP="0063023C">
            <w:pPr>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 xml:space="preserve">Current Year </w:t>
            </w:r>
            <w:proofErr w:type="spellStart"/>
            <w:r>
              <w:rPr>
                <w:rFonts w:ascii="Calibri" w:eastAsia="Calibri" w:hAnsi="Calibri" w:cs="Times New Roman"/>
                <w:b/>
                <w:sz w:val="24"/>
                <w:szCs w:val="24"/>
                <w:lang w:val="en-ZA"/>
              </w:rPr>
              <w:t>Randage</w:t>
            </w:r>
            <w:proofErr w:type="spellEnd"/>
          </w:p>
          <w:p w:rsidR="006264AC" w:rsidRPr="00941E6C" w:rsidRDefault="004454A3" w:rsidP="0063023C">
            <w:pPr>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2018/19</w:t>
            </w:r>
          </w:p>
        </w:tc>
        <w:tc>
          <w:tcPr>
            <w:tcW w:w="1911" w:type="dxa"/>
          </w:tcPr>
          <w:p w:rsidR="006264AC" w:rsidRPr="00941E6C" w:rsidRDefault="006264AC" w:rsidP="0063023C">
            <w:pPr>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 xml:space="preserve">Proposed </w:t>
            </w:r>
            <w:proofErr w:type="spellStart"/>
            <w:r w:rsidRPr="00941E6C">
              <w:rPr>
                <w:rFonts w:ascii="Calibri" w:eastAsia="Calibri" w:hAnsi="Calibri" w:cs="Times New Roman"/>
                <w:b/>
                <w:sz w:val="24"/>
                <w:szCs w:val="24"/>
                <w:lang w:val="en-ZA"/>
              </w:rPr>
              <w:t>Randage</w:t>
            </w:r>
            <w:proofErr w:type="spellEnd"/>
            <w:r w:rsidR="00F805E3">
              <w:rPr>
                <w:rFonts w:ascii="Calibri" w:eastAsia="Calibri" w:hAnsi="Calibri" w:cs="Times New Roman"/>
                <w:b/>
                <w:sz w:val="24"/>
                <w:szCs w:val="24"/>
                <w:lang w:val="en-ZA"/>
              </w:rPr>
              <w:t xml:space="preserve"> </w:t>
            </w:r>
            <w:r w:rsidR="004454A3">
              <w:rPr>
                <w:rFonts w:ascii="Calibri" w:eastAsia="Calibri" w:hAnsi="Calibri" w:cs="Times New Roman"/>
                <w:b/>
                <w:sz w:val="24"/>
                <w:szCs w:val="24"/>
                <w:lang w:val="en-ZA"/>
              </w:rPr>
              <w:t>2019/20</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Residential</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30 000</w:t>
            </w:r>
          </w:p>
        </w:tc>
        <w:tc>
          <w:tcPr>
            <w:tcW w:w="1887"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43</w:t>
            </w:r>
            <w:r w:rsidR="006264AC" w:rsidRPr="00941E6C">
              <w:rPr>
                <w:rFonts w:ascii="Calibri" w:eastAsia="Calibri" w:hAnsi="Calibri" w:cs="Times New Roman"/>
                <w:sz w:val="24"/>
                <w:szCs w:val="24"/>
                <w:lang w:val="en-ZA"/>
              </w:rPr>
              <w:t>%</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0.019839</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Residential - Hospitality</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30 000</w:t>
            </w:r>
          </w:p>
        </w:tc>
        <w:tc>
          <w:tcPr>
            <w:tcW w:w="1887"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43</w:t>
            </w:r>
            <w:r w:rsidR="006264AC">
              <w:rPr>
                <w:rFonts w:ascii="Calibri" w:eastAsia="Calibri" w:hAnsi="Calibri" w:cs="Times New Roman"/>
                <w:sz w:val="24"/>
                <w:szCs w:val="24"/>
                <w:lang w:val="en-ZA"/>
              </w:rPr>
              <w:t>%</w:t>
            </w:r>
          </w:p>
        </w:tc>
        <w:tc>
          <w:tcPr>
            <w:tcW w:w="1604" w:type="dxa"/>
          </w:tcPr>
          <w:p w:rsidR="006264A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0.018895</w:t>
            </w:r>
          </w:p>
        </w:tc>
        <w:tc>
          <w:tcPr>
            <w:tcW w:w="1911" w:type="dxa"/>
          </w:tcPr>
          <w:p w:rsidR="006264A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0.019839</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Commercial</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As Per Table</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0.03726</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0.03912</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Agriculture</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14</w:t>
            </w:r>
            <w:r w:rsidR="006264AC">
              <w:rPr>
                <w:rFonts w:ascii="Calibri" w:eastAsia="Calibri" w:hAnsi="Calibri" w:cs="Times New Roman"/>
                <w:sz w:val="24"/>
                <w:szCs w:val="24"/>
                <w:lang w:val="en-ZA"/>
              </w:rPr>
              <w:t>%</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0.0025</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0.0026</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Public Service Infrastructure</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 xml:space="preserve">First 30% </w:t>
            </w:r>
            <w:proofErr w:type="spellStart"/>
            <w:r w:rsidRPr="00941E6C">
              <w:rPr>
                <w:rFonts w:ascii="Calibri" w:eastAsia="Calibri" w:hAnsi="Calibri" w:cs="Times New Roman"/>
                <w:sz w:val="24"/>
                <w:szCs w:val="24"/>
                <w:lang w:val="en-ZA"/>
              </w:rPr>
              <w:t>non rated</w:t>
            </w:r>
            <w:proofErr w:type="spellEnd"/>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0.002086</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0.003003</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State Owned</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0.03119</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0.03274</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Industrial</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As Per Table</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0.03637</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0.03818</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Public Benefit Organisation Property</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None</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0.002068</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0.002174</w:t>
            </w:r>
          </w:p>
        </w:tc>
      </w:tr>
      <w:tr w:rsidR="006264AC" w:rsidRPr="00941E6C" w:rsidTr="0063023C">
        <w:tc>
          <w:tcPr>
            <w:tcW w:w="198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Recreational Clubs</w:t>
            </w:r>
          </w:p>
        </w:tc>
        <w:tc>
          <w:tcPr>
            <w:tcW w:w="2078"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w:t>
            </w:r>
          </w:p>
        </w:tc>
        <w:tc>
          <w:tcPr>
            <w:tcW w:w="188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30%</w:t>
            </w:r>
          </w:p>
        </w:tc>
        <w:tc>
          <w:tcPr>
            <w:tcW w:w="1604"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0.0018895</w:t>
            </w:r>
          </w:p>
        </w:tc>
        <w:tc>
          <w:tcPr>
            <w:tcW w:w="1911" w:type="dxa"/>
          </w:tcPr>
          <w:p w:rsidR="006264AC" w:rsidRPr="00941E6C" w:rsidRDefault="004454A3"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0.019839</w:t>
            </w:r>
          </w:p>
        </w:tc>
      </w:tr>
    </w:tbl>
    <w:p w:rsidR="00CD4D7B" w:rsidRDefault="00CD4D7B" w:rsidP="00C8149B">
      <w:pPr>
        <w:spacing w:after="0" w:line="240" w:lineRule="auto"/>
        <w:jc w:val="both"/>
        <w:rPr>
          <w:rFonts w:ascii="Arial" w:hAnsi="Arial" w:cs="Arial"/>
          <w:i/>
          <w:sz w:val="20"/>
          <w:szCs w:val="20"/>
        </w:rPr>
      </w:pPr>
    </w:p>
    <w:p w:rsidR="006264AC" w:rsidRDefault="006264AC" w:rsidP="006264AC">
      <w:pPr>
        <w:rPr>
          <w:rFonts w:ascii="Calibri" w:eastAsia="Calibri" w:hAnsi="Calibri" w:cs="Times New Roman"/>
          <w:b/>
          <w:sz w:val="24"/>
          <w:szCs w:val="24"/>
          <w:u w:val="single"/>
          <w:lang w:val="en-ZA"/>
        </w:rPr>
      </w:pPr>
      <w:r w:rsidRPr="00941E6C">
        <w:rPr>
          <w:rFonts w:ascii="Calibri" w:eastAsia="Calibri" w:hAnsi="Calibri" w:cs="Times New Roman"/>
          <w:b/>
          <w:sz w:val="24"/>
          <w:szCs w:val="24"/>
          <w:u w:val="single"/>
          <w:lang w:val="en-ZA"/>
        </w:rPr>
        <w:t>REBATES FOR COMMERCIAL PROPERTIES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3"/>
        <w:gridCol w:w="4621"/>
      </w:tblGrid>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Value of Property</w:t>
            </w:r>
          </w:p>
        </w:tc>
        <w:tc>
          <w:tcPr>
            <w:tcW w:w="4621"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Rebate</w:t>
            </w:r>
          </w:p>
        </w:tc>
      </w:tr>
      <w:tr w:rsidR="006264AC" w:rsidRPr="00941E6C" w:rsidTr="0063023C">
        <w:tc>
          <w:tcPr>
            <w:tcW w:w="4513" w:type="dxa"/>
          </w:tcPr>
          <w:p w:rsidR="006264AC" w:rsidRPr="00941E6C" w:rsidRDefault="006264AC" w:rsidP="0063023C">
            <w:pPr>
              <w:spacing w:after="0" w:line="240" w:lineRule="auto"/>
              <w:contextualSpacing/>
              <w:rPr>
                <w:rFonts w:ascii="Calibri" w:eastAsia="Calibri" w:hAnsi="Calibri" w:cs="Times New Roman"/>
                <w:sz w:val="24"/>
                <w:szCs w:val="24"/>
                <w:u w:val="single"/>
                <w:lang w:val="en-ZA"/>
              </w:rPr>
            </w:pPr>
            <w:r w:rsidRPr="00941E6C">
              <w:rPr>
                <w:rFonts w:ascii="Calibri" w:eastAsia="Calibri" w:hAnsi="Calibri" w:cs="Times New Roman"/>
                <w:sz w:val="24"/>
                <w:szCs w:val="24"/>
                <w:lang w:val="en-ZA"/>
              </w:rPr>
              <w:t>0-1.5 million</w:t>
            </w:r>
          </w:p>
        </w:tc>
        <w:tc>
          <w:tcPr>
            <w:tcW w:w="4621"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25</w:t>
            </w:r>
            <w:r w:rsidR="006264AC" w:rsidRPr="00941E6C">
              <w:rPr>
                <w:rFonts w:ascii="Calibri" w:eastAsia="Calibri" w:hAnsi="Calibri" w:cs="Times New Roman"/>
                <w:sz w:val="24"/>
                <w:szCs w:val="24"/>
                <w:lang w:val="en-ZA"/>
              </w:rPr>
              <w:t>.660%</w:t>
            </w:r>
          </w:p>
        </w:tc>
      </w:tr>
      <w:tr w:rsidR="006264AC" w:rsidRPr="00941E6C" w:rsidTr="0063023C">
        <w:tc>
          <w:tcPr>
            <w:tcW w:w="4513" w:type="dxa"/>
          </w:tcPr>
          <w:p w:rsidR="006264AC" w:rsidRPr="00941E6C" w:rsidRDefault="006264AC" w:rsidP="0063023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&gt;1.5 million – 2.5 million</w:t>
            </w:r>
          </w:p>
        </w:tc>
        <w:tc>
          <w:tcPr>
            <w:tcW w:w="4621"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15</w:t>
            </w:r>
            <w:r w:rsidR="006264AC" w:rsidRPr="00941E6C">
              <w:rPr>
                <w:rFonts w:ascii="Calibri" w:eastAsia="Calibri" w:hAnsi="Calibri" w:cs="Times New Roman"/>
                <w:sz w:val="24"/>
                <w:szCs w:val="24"/>
                <w:lang w:val="en-ZA"/>
              </w:rPr>
              <w:t>.685%</w:t>
            </w:r>
          </w:p>
        </w:tc>
      </w:tr>
      <w:tr w:rsidR="006264AC" w:rsidRPr="00941E6C" w:rsidTr="0063023C">
        <w:tc>
          <w:tcPr>
            <w:tcW w:w="4513" w:type="dxa"/>
          </w:tcPr>
          <w:p w:rsidR="006264AC" w:rsidRPr="00941E6C" w:rsidRDefault="006264AC" w:rsidP="0063023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&gt;2.5 million – 7.5 million</w:t>
            </w:r>
          </w:p>
        </w:tc>
        <w:tc>
          <w:tcPr>
            <w:tcW w:w="4621"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19</w:t>
            </w:r>
            <w:r w:rsidR="006264AC" w:rsidRPr="00941E6C">
              <w:rPr>
                <w:rFonts w:ascii="Calibri" w:eastAsia="Calibri" w:hAnsi="Calibri" w:cs="Times New Roman"/>
                <w:sz w:val="24"/>
                <w:szCs w:val="24"/>
                <w:lang w:val="en-ZA"/>
              </w:rPr>
              <w:t>.635%</w:t>
            </w:r>
          </w:p>
        </w:tc>
      </w:tr>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&gt;7. 5 million -10 million</w:t>
            </w:r>
          </w:p>
        </w:tc>
        <w:tc>
          <w:tcPr>
            <w:tcW w:w="4621"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13</w:t>
            </w:r>
            <w:r w:rsidR="006264AC" w:rsidRPr="00941E6C">
              <w:rPr>
                <w:rFonts w:ascii="Calibri" w:eastAsia="Calibri" w:hAnsi="Calibri" w:cs="Times New Roman"/>
                <w:sz w:val="24"/>
                <w:szCs w:val="24"/>
                <w:lang w:val="en-ZA"/>
              </w:rPr>
              <w:t>.650%</w:t>
            </w:r>
          </w:p>
        </w:tc>
      </w:tr>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&gt;10 million</w:t>
            </w:r>
          </w:p>
        </w:tc>
        <w:tc>
          <w:tcPr>
            <w:tcW w:w="4621"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34</w:t>
            </w:r>
            <w:r w:rsidR="006264AC" w:rsidRPr="00941E6C">
              <w:rPr>
                <w:rFonts w:ascii="Calibri" w:eastAsia="Calibri" w:hAnsi="Calibri" w:cs="Times New Roman"/>
                <w:sz w:val="24"/>
                <w:szCs w:val="24"/>
                <w:lang w:val="en-ZA"/>
              </w:rPr>
              <w:t>.121%</w:t>
            </w:r>
          </w:p>
        </w:tc>
      </w:tr>
    </w:tbl>
    <w:p w:rsidR="006264AC" w:rsidRDefault="006264AC" w:rsidP="00C8149B">
      <w:pPr>
        <w:spacing w:after="0" w:line="240" w:lineRule="auto"/>
        <w:jc w:val="both"/>
        <w:rPr>
          <w:rFonts w:ascii="Arial" w:hAnsi="Arial" w:cs="Arial"/>
          <w:i/>
          <w:sz w:val="20"/>
          <w:szCs w:val="20"/>
        </w:rPr>
      </w:pPr>
    </w:p>
    <w:p w:rsidR="006264AC" w:rsidRDefault="006264AC" w:rsidP="006264AC">
      <w:pPr>
        <w:rPr>
          <w:rFonts w:ascii="Calibri" w:eastAsia="Calibri" w:hAnsi="Calibri" w:cs="Times New Roman"/>
          <w:b/>
          <w:sz w:val="24"/>
          <w:szCs w:val="24"/>
          <w:u w:val="single"/>
          <w:lang w:val="en-ZA"/>
        </w:rPr>
      </w:pPr>
    </w:p>
    <w:p w:rsidR="006264AC" w:rsidRPr="00941E6C" w:rsidRDefault="006264AC" w:rsidP="006264AC">
      <w:pPr>
        <w:rPr>
          <w:rFonts w:ascii="Calibri" w:eastAsia="Calibri" w:hAnsi="Calibri" w:cs="Times New Roman"/>
          <w:b/>
          <w:sz w:val="24"/>
          <w:szCs w:val="24"/>
          <w:u w:val="single"/>
          <w:lang w:val="en-ZA"/>
        </w:rPr>
      </w:pPr>
      <w:r w:rsidRPr="00941E6C">
        <w:rPr>
          <w:rFonts w:ascii="Calibri" w:eastAsia="Calibri" w:hAnsi="Calibri" w:cs="Times New Roman"/>
          <w:b/>
          <w:sz w:val="24"/>
          <w:szCs w:val="24"/>
          <w:u w:val="single"/>
          <w:lang w:val="en-ZA"/>
        </w:rPr>
        <w:t>REBATES FOR INDUSTRIAL PROPERTIES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7"/>
        <w:gridCol w:w="4562"/>
      </w:tblGrid>
      <w:tr w:rsidR="006264AC" w:rsidRPr="00941E6C" w:rsidTr="0063023C">
        <w:tc>
          <w:tcPr>
            <w:tcW w:w="4567"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VALUE OF PROPERTY</w:t>
            </w:r>
          </w:p>
        </w:tc>
        <w:tc>
          <w:tcPr>
            <w:tcW w:w="4562"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REBATE</w:t>
            </w:r>
          </w:p>
        </w:tc>
      </w:tr>
      <w:tr w:rsidR="006264AC" w:rsidRPr="00941E6C" w:rsidTr="0063023C">
        <w:tc>
          <w:tcPr>
            <w:tcW w:w="456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0-1 Million</w:t>
            </w:r>
          </w:p>
        </w:tc>
        <w:tc>
          <w:tcPr>
            <w:tcW w:w="4562"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03</w:t>
            </w:r>
            <w:r w:rsidR="006264AC" w:rsidRPr="00941E6C">
              <w:rPr>
                <w:rFonts w:ascii="Calibri" w:eastAsia="Calibri" w:hAnsi="Calibri" w:cs="Times New Roman"/>
                <w:sz w:val="24"/>
                <w:szCs w:val="24"/>
                <w:lang w:val="en-ZA"/>
              </w:rPr>
              <w:t>.286%</w:t>
            </w:r>
          </w:p>
        </w:tc>
      </w:tr>
      <w:tr w:rsidR="006264AC" w:rsidRPr="00941E6C" w:rsidTr="0063023C">
        <w:tc>
          <w:tcPr>
            <w:tcW w:w="4567" w:type="dxa"/>
          </w:tcPr>
          <w:p w:rsidR="006264AC" w:rsidRPr="00941E6C" w:rsidRDefault="006264AC" w:rsidP="0063023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&gt;1-2 million</w:t>
            </w:r>
          </w:p>
        </w:tc>
        <w:tc>
          <w:tcPr>
            <w:tcW w:w="4562"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07</w:t>
            </w:r>
            <w:r w:rsidR="006264AC" w:rsidRPr="00941E6C">
              <w:rPr>
                <w:rFonts w:ascii="Calibri" w:eastAsia="Calibri" w:hAnsi="Calibri" w:cs="Times New Roman"/>
                <w:sz w:val="24"/>
                <w:szCs w:val="24"/>
                <w:lang w:val="en-ZA"/>
              </w:rPr>
              <w:t>.234%</w:t>
            </w:r>
          </w:p>
        </w:tc>
      </w:tr>
      <w:tr w:rsidR="006264AC" w:rsidRPr="00941E6C" w:rsidTr="0063023C">
        <w:tc>
          <w:tcPr>
            <w:tcW w:w="4567" w:type="dxa"/>
          </w:tcPr>
          <w:p w:rsidR="006264AC" w:rsidRPr="00941E6C" w:rsidRDefault="006264AC" w:rsidP="0063023C">
            <w:pPr>
              <w:spacing w:after="0" w:line="240" w:lineRule="auto"/>
              <w:contextualSpacing/>
              <w:rPr>
                <w:rFonts w:ascii="Calibri" w:eastAsia="Calibri" w:hAnsi="Calibri" w:cs="Times New Roman"/>
                <w:sz w:val="24"/>
                <w:szCs w:val="24"/>
                <w:lang w:val="en-ZA"/>
              </w:rPr>
            </w:pPr>
            <w:r w:rsidRPr="00941E6C">
              <w:rPr>
                <w:rFonts w:ascii="Calibri" w:eastAsia="Calibri" w:hAnsi="Calibri" w:cs="Times New Roman"/>
                <w:sz w:val="24"/>
                <w:szCs w:val="24"/>
                <w:lang w:val="en-ZA"/>
              </w:rPr>
              <w:t>&gt;2-5 million</w:t>
            </w:r>
          </w:p>
        </w:tc>
        <w:tc>
          <w:tcPr>
            <w:tcW w:w="4562"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34</w:t>
            </w:r>
            <w:r w:rsidR="006264AC" w:rsidRPr="00941E6C">
              <w:rPr>
                <w:rFonts w:ascii="Calibri" w:eastAsia="Calibri" w:hAnsi="Calibri" w:cs="Times New Roman"/>
                <w:sz w:val="24"/>
                <w:szCs w:val="24"/>
                <w:lang w:val="en-ZA"/>
              </w:rPr>
              <w:t>.405%</w:t>
            </w:r>
          </w:p>
        </w:tc>
      </w:tr>
      <w:tr w:rsidR="006264AC" w:rsidRPr="00941E6C" w:rsidTr="0063023C">
        <w:tc>
          <w:tcPr>
            <w:tcW w:w="456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&gt;5-36 million</w:t>
            </w:r>
          </w:p>
        </w:tc>
        <w:tc>
          <w:tcPr>
            <w:tcW w:w="4562"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30</w:t>
            </w:r>
            <w:r w:rsidR="006264AC" w:rsidRPr="00941E6C">
              <w:rPr>
                <w:rFonts w:ascii="Calibri" w:eastAsia="Calibri" w:hAnsi="Calibri" w:cs="Times New Roman"/>
                <w:sz w:val="24"/>
                <w:szCs w:val="24"/>
                <w:lang w:val="en-ZA"/>
              </w:rPr>
              <w:t>.470%</w:t>
            </w:r>
          </w:p>
        </w:tc>
      </w:tr>
      <w:tr w:rsidR="006264AC" w:rsidRPr="00941E6C" w:rsidTr="0063023C">
        <w:tc>
          <w:tcPr>
            <w:tcW w:w="4567"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&gt;36 million</w:t>
            </w:r>
          </w:p>
        </w:tc>
        <w:tc>
          <w:tcPr>
            <w:tcW w:w="4562" w:type="dxa"/>
          </w:tcPr>
          <w:p w:rsidR="006264AC" w:rsidRPr="00941E6C" w:rsidRDefault="00EB2A67"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57</w:t>
            </w:r>
            <w:r w:rsidR="006264AC" w:rsidRPr="00941E6C">
              <w:rPr>
                <w:rFonts w:ascii="Calibri" w:eastAsia="Calibri" w:hAnsi="Calibri" w:cs="Times New Roman"/>
                <w:sz w:val="24"/>
                <w:szCs w:val="24"/>
                <w:lang w:val="en-ZA"/>
              </w:rPr>
              <w:t>.692%</w:t>
            </w:r>
          </w:p>
        </w:tc>
      </w:tr>
    </w:tbl>
    <w:p w:rsidR="006264AC" w:rsidRPr="00941E6C" w:rsidRDefault="006264AC" w:rsidP="006264AC">
      <w:pPr>
        <w:rPr>
          <w:rFonts w:ascii="Calibri" w:eastAsia="Calibri" w:hAnsi="Calibri" w:cs="Times New Roman"/>
          <w:b/>
          <w:sz w:val="24"/>
          <w:szCs w:val="24"/>
          <w:u w:val="single"/>
          <w:lang w:val="en-ZA"/>
        </w:rPr>
      </w:pPr>
      <w:r w:rsidRPr="00941E6C">
        <w:rPr>
          <w:rFonts w:ascii="Calibri" w:eastAsia="Calibri" w:hAnsi="Calibri" w:cs="Times New Roman"/>
          <w:b/>
          <w:sz w:val="24"/>
          <w:szCs w:val="24"/>
          <w:u w:val="single"/>
          <w:lang w:val="en-ZA"/>
        </w:rPr>
        <w:t>ADDITIONAL RELIEF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3"/>
        <w:gridCol w:w="4621"/>
      </w:tblGrid>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USAGE/OWNER</w:t>
            </w:r>
          </w:p>
        </w:tc>
        <w:tc>
          <w:tcPr>
            <w:tcW w:w="4621" w:type="dxa"/>
          </w:tcPr>
          <w:p w:rsidR="006264AC" w:rsidRPr="00941E6C" w:rsidRDefault="006264AC" w:rsidP="0063023C">
            <w:pPr>
              <w:spacing w:after="0" w:line="240" w:lineRule="auto"/>
              <w:rPr>
                <w:rFonts w:ascii="Calibri" w:eastAsia="Calibri" w:hAnsi="Calibri" w:cs="Times New Roman"/>
                <w:b/>
                <w:sz w:val="24"/>
                <w:szCs w:val="24"/>
                <w:lang w:val="en-ZA"/>
              </w:rPr>
            </w:pPr>
            <w:r w:rsidRPr="00941E6C">
              <w:rPr>
                <w:rFonts w:ascii="Calibri" w:eastAsia="Calibri" w:hAnsi="Calibri" w:cs="Times New Roman"/>
                <w:b/>
                <w:sz w:val="24"/>
                <w:szCs w:val="24"/>
                <w:lang w:val="en-ZA"/>
              </w:rPr>
              <w:t>ADDITIONAL REBATE</w:t>
            </w:r>
          </w:p>
        </w:tc>
      </w:tr>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BED &amp; BREAKFAST</w:t>
            </w:r>
          </w:p>
        </w:tc>
        <w:tc>
          <w:tcPr>
            <w:tcW w:w="4621"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25%</w:t>
            </w:r>
          </w:p>
        </w:tc>
      </w:tr>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BED&amp; BREAKFAST(NON RESIDENT)</w:t>
            </w:r>
          </w:p>
        </w:tc>
        <w:tc>
          <w:tcPr>
            <w:tcW w:w="4621"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20%</w:t>
            </w:r>
          </w:p>
        </w:tc>
      </w:tr>
      <w:tr w:rsidR="006264AC" w:rsidRPr="00941E6C" w:rsidTr="0063023C">
        <w:tc>
          <w:tcPr>
            <w:tcW w:w="4513" w:type="dxa"/>
          </w:tcPr>
          <w:p w:rsidR="006264AC" w:rsidRPr="00941E6C" w:rsidRDefault="006264AC" w:rsidP="0063023C">
            <w:pPr>
              <w:spacing w:after="0" w:line="240" w:lineRule="auto"/>
              <w:rPr>
                <w:rFonts w:ascii="Calibri" w:eastAsia="Calibri" w:hAnsi="Calibri" w:cs="Times New Roman"/>
                <w:sz w:val="24"/>
                <w:szCs w:val="24"/>
                <w:lang w:val="en-ZA"/>
              </w:rPr>
            </w:pPr>
            <w:r w:rsidRPr="00941E6C">
              <w:rPr>
                <w:rFonts w:ascii="Calibri" w:eastAsia="Calibri" w:hAnsi="Calibri" w:cs="Times New Roman"/>
                <w:sz w:val="24"/>
                <w:szCs w:val="24"/>
                <w:lang w:val="en-ZA"/>
              </w:rPr>
              <w:t>PENSIONER</w:t>
            </w:r>
          </w:p>
        </w:tc>
        <w:tc>
          <w:tcPr>
            <w:tcW w:w="4621" w:type="dxa"/>
          </w:tcPr>
          <w:p w:rsidR="006264AC" w:rsidRPr="00941E6C" w:rsidRDefault="006264AC" w:rsidP="0063023C">
            <w:pPr>
              <w:spacing w:after="0" w:line="240" w:lineRule="auto"/>
              <w:rPr>
                <w:rFonts w:ascii="Calibri" w:eastAsia="Calibri" w:hAnsi="Calibri" w:cs="Times New Roman"/>
                <w:sz w:val="24"/>
                <w:szCs w:val="24"/>
                <w:lang w:val="en-ZA"/>
              </w:rPr>
            </w:pPr>
            <w:r>
              <w:rPr>
                <w:rFonts w:ascii="Calibri" w:eastAsia="Calibri" w:hAnsi="Calibri" w:cs="Times New Roman"/>
                <w:sz w:val="24"/>
                <w:szCs w:val="24"/>
                <w:lang w:val="en-ZA"/>
              </w:rPr>
              <w:t>+</w:t>
            </w:r>
            <w:r w:rsidRPr="00941E6C">
              <w:rPr>
                <w:rFonts w:ascii="Calibri" w:eastAsia="Calibri" w:hAnsi="Calibri" w:cs="Times New Roman"/>
                <w:sz w:val="24"/>
                <w:szCs w:val="24"/>
                <w:lang w:val="en-ZA"/>
              </w:rPr>
              <w:t>12.50%</w:t>
            </w:r>
          </w:p>
        </w:tc>
      </w:tr>
    </w:tbl>
    <w:p w:rsidR="006264AC" w:rsidRDefault="006264AC" w:rsidP="006264AC">
      <w:pPr>
        <w:spacing w:after="0" w:line="240" w:lineRule="auto"/>
        <w:jc w:val="both"/>
        <w:rPr>
          <w:rFonts w:ascii="Arial" w:hAnsi="Arial" w:cs="Arial"/>
          <w:i/>
          <w:sz w:val="20"/>
          <w:szCs w:val="20"/>
        </w:rPr>
      </w:pPr>
    </w:p>
    <w:tbl>
      <w:tblPr>
        <w:tblStyle w:val="MediumShading2-Accent1"/>
        <w:tblW w:w="8594" w:type="dxa"/>
        <w:tblInd w:w="468" w:type="dxa"/>
        <w:tblLook w:val="04A0" w:firstRow="1" w:lastRow="0" w:firstColumn="1" w:lastColumn="0" w:noHBand="0" w:noVBand="1"/>
      </w:tblPr>
      <w:tblGrid>
        <w:gridCol w:w="5363"/>
        <w:gridCol w:w="3231"/>
      </w:tblGrid>
      <w:tr w:rsidR="005C3763" w:rsidRPr="005A2368" w:rsidTr="00FB5E13">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p>
        </w:tc>
        <w:tc>
          <w:tcPr>
            <w:tcW w:w="3231" w:type="dxa"/>
            <w:noWrap/>
            <w:hideMark/>
          </w:tcPr>
          <w:p w:rsidR="005C3763" w:rsidRPr="005A2368" w:rsidRDefault="004454A3" w:rsidP="00FB5E1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2019/20</w:t>
            </w:r>
            <w:r w:rsidR="005C3763" w:rsidRPr="005A2368">
              <w:rPr>
                <w:rFonts w:ascii="Calibri" w:eastAsia="Times New Roman" w:hAnsi="Calibri" w:cs="Times New Roman"/>
                <w:color w:val="000000"/>
              </w:rPr>
              <w:t xml:space="preserve"> Tariffs</w:t>
            </w:r>
          </w:p>
        </w:tc>
      </w:tr>
      <w:tr w:rsidR="005C3763" w:rsidRPr="005A2368" w:rsidTr="00FB5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Agriculture</w:t>
            </w:r>
          </w:p>
        </w:tc>
        <w:tc>
          <w:tcPr>
            <w:tcW w:w="3231" w:type="dxa"/>
            <w:noWrap/>
            <w:hideMark/>
          </w:tcPr>
          <w:p w:rsidR="005C3763" w:rsidRPr="005A2368" w:rsidRDefault="005C3763" w:rsidP="00FB5E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0.0022</w:t>
            </w:r>
          </w:p>
        </w:tc>
      </w:tr>
      <w:tr w:rsidR="005C3763" w:rsidRPr="005A2368" w:rsidTr="00FB5E13">
        <w:trPr>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Agricultural Small holding</w:t>
            </w:r>
          </w:p>
        </w:tc>
        <w:tc>
          <w:tcPr>
            <w:tcW w:w="3231" w:type="dxa"/>
            <w:noWrap/>
            <w:hideMark/>
          </w:tcPr>
          <w:p w:rsidR="005C3763" w:rsidRPr="005A2368" w:rsidRDefault="005C3763" w:rsidP="00FB5E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0.0022</w:t>
            </w:r>
          </w:p>
        </w:tc>
      </w:tr>
      <w:tr w:rsidR="005C3763" w:rsidRPr="005A2368" w:rsidTr="00FB5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Commercial</w:t>
            </w:r>
          </w:p>
        </w:tc>
        <w:tc>
          <w:tcPr>
            <w:tcW w:w="3231" w:type="dxa"/>
            <w:noWrap/>
            <w:hideMark/>
          </w:tcPr>
          <w:p w:rsidR="005C3763" w:rsidRPr="005A2368" w:rsidRDefault="005C3763" w:rsidP="00FB5E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0.0064</w:t>
            </w:r>
          </w:p>
        </w:tc>
      </w:tr>
      <w:tr w:rsidR="005C3763" w:rsidRPr="005A2368" w:rsidTr="00FB5E13">
        <w:trPr>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 xml:space="preserve">Communal land </w:t>
            </w:r>
          </w:p>
        </w:tc>
        <w:tc>
          <w:tcPr>
            <w:tcW w:w="3231" w:type="dxa"/>
            <w:noWrap/>
            <w:hideMark/>
          </w:tcPr>
          <w:p w:rsidR="005C3763" w:rsidRPr="005A2368" w:rsidRDefault="005C3763" w:rsidP="00FB5E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Non Ratable </w:t>
            </w:r>
          </w:p>
        </w:tc>
      </w:tr>
      <w:tr w:rsidR="005C3763" w:rsidRPr="005A2368" w:rsidTr="00FB5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Communal land and property ass</w:t>
            </w:r>
          </w:p>
        </w:tc>
        <w:tc>
          <w:tcPr>
            <w:tcW w:w="3231" w:type="dxa"/>
            <w:noWrap/>
            <w:hideMark/>
          </w:tcPr>
          <w:p w:rsidR="005C3763" w:rsidRPr="005A2368" w:rsidRDefault="005C3763" w:rsidP="00FB5E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0.0045</w:t>
            </w:r>
          </w:p>
        </w:tc>
      </w:tr>
      <w:tr w:rsidR="005C3763" w:rsidRPr="005A2368" w:rsidTr="00FB5E13">
        <w:trPr>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Industrial</w:t>
            </w:r>
          </w:p>
        </w:tc>
        <w:tc>
          <w:tcPr>
            <w:tcW w:w="3231" w:type="dxa"/>
            <w:noWrap/>
            <w:hideMark/>
          </w:tcPr>
          <w:p w:rsidR="005C3763" w:rsidRPr="005A2368" w:rsidRDefault="005C3763" w:rsidP="00FB5E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0.0064</w:t>
            </w:r>
          </w:p>
        </w:tc>
      </w:tr>
      <w:tr w:rsidR="005C3763" w:rsidRPr="005A2368" w:rsidTr="00FB5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000000"/>
              </w:rPr>
            </w:pPr>
            <w:r w:rsidRPr="005A2368">
              <w:rPr>
                <w:rFonts w:ascii="Calibri" w:eastAsia="Times New Roman" w:hAnsi="Calibri" w:cs="Times New Roman"/>
                <w:color w:val="000000"/>
              </w:rPr>
              <w:t>P S I (first R 30000)</w:t>
            </w:r>
          </w:p>
        </w:tc>
        <w:tc>
          <w:tcPr>
            <w:tcW w:w="3231" w:type="dxa"/>
            <w:noWrap/>
            <w:hideMark/>
          </w:tcPr>
          <w:p w:rsidR="005C3763" w:rsidRPr="005A2368" w:rsidRDefault="005C3763" w:rsidP="00FB5E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0.0064</w:t>
            </w:r>
          </w:p>
        </w:tc>
      </w:tr>
      <w:tr w:rsidR="005C3763" w:rsidRPr="005A2368" w:rsidTr="00FB5E13">
        <w:trPr>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Arial" w:eastAsia="Times New Roman" w:hAnsi="Arial" w:cs="Arial"/>
                <w:color w:val="auto"/>
                <w:sz w:val="20"/>
                <w:szCs w:val="20"/>
              </w:rPr>
            </w:pPr>
            <w:r w:rsidRPr="005A2368">
              <w:rPr>
                <w:rFonts w:ascii="Arial" w:eastAsia="Times New Roman" w:hAnsi="Arial" w:cs="Arial"/>
                <w:color w:val="auto"/>
                <w:sz w:val="20"/>
                <w:szCs w:val="20"/>
              </w:rPr>
              <w:t>State owned</w:t>
            </w:r>
          </w:p>
        </w:tc>
        <w:tc>
          <w:tcPr>
            <w:tcW w:w="3231" w:type="dxa"/>
            <w:noWrap/>
            <w:hideMark/>
          </w:tcPr>
          <w:p w:rsidR="005C3763" w:rsidRPr="005A2368" w:rsidRDefault="005C3763" w:rsidP="00FB5E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0.0255</w:t>
            </w:r>
          </w:p>
        </w:tc>
      </w:tr>
      <w:tr w:rsidR="005C3763" w:rsidRPr="005A2368" w:rsidTr="00FB5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auto"/>
              </w:rPr>
            </w:pPr>
            <w:r w:rsidRPr="005A2368">
              <w:rPr>
                <w:rFonts w:ascii="Calibri" w:eastAsia="Times New Roman" w:hAnsi="Calibri" w:cs="Times New Roman"/>
                <w:color w:val="auto"/>
              </w:rPr>
              <w:t>Municipal</w:t>
            </w:r>
          </w:p>
        </w:tc>
        <w:tc>
          <w:tcPr>
            <w:tcW w:w="3231" w:type="dxa"/>
            <w:noWrap/>
            <w:hideMark/>
          </w:tcPr>
          <w:p w:rsidR="005C3763" w:rsidRPr="005A2368" w:rsidRDefault="005C3763" w:rsidP="00FB5E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 xml:space="preserve">Non Ratable </w:t>
            </w:r>
          </w:p>
        </w:tc>
      </w:tr>
      <w:tr w:rsidR="005C3763" w:rsidRPr="005A2368" w:rsidTr="00FB5E13">
        <w:trPr>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Calibri" w:eastAsia="Times New Roman" w:hAnsi="Calibri" w:cs="Times New Roman"/>
                <w:color w:val="auto"/>
              </w:rPr>
            </w:pPr>
            <w:r w:rsidRPr="005A2368">
              <w:rPr>
                <w:rFonts w:ascii="Calibri" w:eastAsia="Times New Roman" w:hAnsi="Calibri" w:cs="Times New Roman"/>
                <w:color w:val="auto"/>
              </w:rPr>
              <w:t>Place of worship</w:t>
            </w:r>
          </w:p>
        </w:tc>
        <w:tc>
          <w:tcPr>
            <w:tcW w:w="3231" w:type="dxa"/>
            <w:noWrap/>
            <w:hideMark/>
          </w:tcPr>
          <w:p w:rsidR="005C3763" w:rsidRPr="005A2368" w:rsidRDefault="005C3763" w:rsidP="00FB5E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 xml:space="preserve">Non Ratable </w:t>
            </w:r>
          </w:p>
        </w:tc>
      </w:tr>
      <w:tr w:rsidR="005C3763" w:rsidRPr="005A2368" w:rsidTr="00FB5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Arial" w:eastAsia="Times New Roman" w:hAnsi="Arial" w:cs="Arial"/>
                <w:color w:val="auto"/>
                <w:sz w:val="20"/>
                <w:szCs w:val="20"/>
              </w:rPr>
            </w:pPr>
            <w:r w:rsidRPr="005A2368">
              <w:rPr>
                <w:rFonts w:ascii="Arial" w:eastAsia="Times New Roman" w:hAnsi="Arial" w:cs="Arial"/>
                <w:color w:val="auto"/>
                <w:sz w:val="20"/>
                <w:szCs w:val="20"/>
              </w:rPr>
              <w:t xml:space="preserve">CONSERVATION </w:t>
            </w:r>
            <w:r>
              <w:rPr>
                <w:rFonts w:ascii="Arial" w:eastAsia="Times New Roman" w:hAnsi="Arial" w:cs="Arial"/>
                <w:color w:val="auto"/>
                <w:sz w:val="20"/>
                <w:szCs w:val="20"/>
              </w:rPr>
              <w:t>–</w:t>
            </w:r>
            <w:r w:rsidRPr="005A2368">
              <w:rPr>
                <w:rFonts w:ascii="Arial" w:eastAsia="Times New Roman" w:hAnsi="Arial" w:cs="Arial"/>
                <w:color w:val="auto"/>
                <w:sz w:val="20"/>
                <w:szCs w:val="20"/>
              </w:rPr>
              <w:t xml:space="preserve"> NEMA</w:t>
            </w:r>
          </w:p>
        </w:tc>
        <w:tc>
          <w:tcPr>
            <w:tcW w:w="3231" w:type="dxa"/>
            <w:noWrap/>
            <w:hideMark/>
          </w:tcPr>
          <w:p w:rsidR="005C3763" w:rsidRPr="005A2368" w:rsidRDefault="005C3763" w:rsidP="00FB5E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 xml:space="preserve">Non Ratable </w:t>
            </w:r>
          </w:p>
        </w:tc>
      </w:tr>
      <w:tr w:rsidR="005C3763" w:rsidRPr="005A2368" w:rsidTr="00FB5E13">
        <w:trPr>
          <w:trHeight w:val="283"/>
        </w:trPr>
        <w:tc>
          <w:tcPr>
            <w:cnfStyle w:val="001000000000" w:firstRow="0" w:lastRow="0" w:firstColumn="1" w:lastColumn="0" w:oddVBand="0" w:evenVBand="0" w:oddHBand="0" w:evenHBand="0" w:firstRowFirstColumn="0" w:firstRowLastColumn="0" w:lastRowFirstColumn="0" w:lastRowLastColumn="0"/>
            <w:tcW w:w="5363" w:type="dxa"/>
            <w:noWrap/>
            <w:hideMark/>
          </w:tcPr>
          <w:p w:rsidR="005C3763" w:rsidRPr="005A2368" w:rsidRDefault="005C3763" w:rsidP="00FB5E13">
            <w:pPr>
              <w:rPr>
                <w:rFonts w:ascii="Arial" w:eastAsia="Times New Roman" w:hAnsi="Arial" w:cs="Arial"/>
                <w:color w:val="auto"/>
                <w:sz w:val="20"/>
                <w:szCs w:val="20"/>
              </w:rPr>
            </w:pPr>
            <w:r w:rsidRPr="005A2368">
              <w:rPr>
                <w:rFonts w:ascii="Arial" w:eastAsia="Times New Roman" w:hAnsi="Arial" w:cs="Arial"/>
                <w:color w:val="auto"/>
                <w:sz w:val="20"/>
                <w:szCs w:val="20"/>
              </w:rPr>
              <w:t>RESIDENTIAL</w:t>
            </w:r>
          </w:p>
        </w:tc>
        <w:tc>
          <w:tcPr>
            <w:tcW w:w="3231" w:type="dxa"/>
            <w:noWrap/>
            <w:hideMark/>
          </w:tcPr>
          <w:p w:rsidR="005C3763" w:rsidRPr="005A2368" w:rsidRDefault="005C3763" w:rsidP="00FB5E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A2368">
              <w:rPr>
                <w:rFonts w:ascii="Calibri" w:eastAsia="Times New Roman" w:hAnsi="Calibri" w:cs="Times New Roman"/>
                <w:color w:val="000000"/>
              </w:rPr>
              <w:t>0.0087</w:t>
            </w:r>
          </w:p>
        </w:tc>
      </w:tr>
    </w:tbl>
    <w:p w:rsidR="005C3763" w:rsidRDefault="005C3763" w:rsidP="006264AC">
      <w:pPr>
        <w:spacing w:after="0" w:line="240" w:lineRule="auto"/>
        <w:jc w:val="both"/>
        <w:rPr>
          <w:rFonts w:ascii="Arial" w:hAnsi="Arial" w:cs="Arial"/>
          <w:i/>
          <w:sz w:val="20"/>
          <w:szCs w:val="20"/>
        </w:rPr>
      </w:pPr>
    </w:p>
    <w:p w:rsidR="00646A54" w:rsidRPr="0038490D" w:rsidRDefault="00646A54" w:rsidP="007269ED">
      <w:pPr>
        <w:spacing w:after="0" w:line="240" w:lineRule="auto"/>
        <w:jc w:val="both"/>
        <w:rPr>
          <w:rFonts w:ascii="Arial" w:eastAsia="Gulim" w:hAnsi="Arial" w:cs="Arial"/>
          <w:lang w:eastAsia="ko-KR"/>
        </w:rPr>
      </w:pPr>
    </w:p>
    <w:p w:rsidR="00FF3292" w:rsidRPr="008D6BA7" w:rsidRDefault="00FF3292" w:rsidP="008D6BA7">
      <w:pPr>
        <w:pStyle w:val="Heading3"/>
        <w:rPr>
          <w:rFonts w:ascii="Arial" w:hAnsi="Arial" w:cs="Arial"/>
          <w:color w:val="auto"/>
        </w:rPr>
      </w:pPr>
      <w:bookmarkStart w:id="42" w:name="_Toc286034096"/>
      <w:bookmarkStart w:id="43" w:name="_Toc286034687"/>
      <w:r w:rsidRPr="008D6BA7">
        <w:rPr>
          <w:rFonts w:ascii="Arial" w:hAnsi="Arial" w:cs="Arial"/>
          <w:color w:val="auto"/>
        </w:rPr>
        <w:t>Sale of Electricity</w:t>
      </w:r>
      <w:r w:rsidR="00EE347D" w:rsidRPr="008D6BA7">
        <w:rPr>
          <w:rFonts w:ascii="Arial" w:hAnsi="Arial" w:cs="Arial"/>
          <w:color w:val="auto"/>
        </w:rPr>
        <w:t xml:space="preserve"> and Impact of</w:t>
      </w:r>
      <w:r w:rsidRPr="008D6BA7">
        <w:rPr>
          <w:rFonts w:ascii="Arial" w:hAnsi="Arial" w:cs="Arial"/>
          <w:color w:val="auto"/>
        </w:rPr>
        <w:t xml:space="preserve"> Tariff Increases</w:t>
      </w:r>
      <w:bookmarkEnd w:id="42"/>
      <w:bookmarkEnd w:id="43"/>
    </w:p>
    <w:p w:rsidR="00FF3292" w:rsidRPr="00FF3292" w:rsidRDefault="00FF3292" w:rsidP="00FF3292">
      <w:pPr>
        <w:spacing w:after="0" w:line="240" w:lineRule="auto"/>
        <w:jc w:val="both"/>
        <w:rPr>
          <w:rFonts w:ascii="Arial" w:hAnsi="Arial" w:cs="Arial"/>
          <w:bCs/>
        </w:rPr>
      </w:pPr>
    </w:p>
    <w:p w:rsidR="00FF3292" w:rsidRDefault="00FF3292" w:rsidP="00FF3292">
      <w:pPr>
        <w:spacing w:after="0" w:line="240" w:lineRule="auto"/>
        <w:jc w:val="both"/>
        <w:rPr>
          <w:rFonts w:ascii="Arial" w:hAnsi="Arial" w:cs="Arial"/>
        </w:rPr>
      </w:pPr>
    </w:p>
    <w:p w:rsidR="00FF3292" w:rsidRPr="00FF3292" w:rsidRDefault="00FF3292" w:rsidP="00FF3292">
      <w:pPr>
        <w:spacing w:after="0" w:line="240" w:lineRule="auto"/>
        <w:jc w:val="both"/>
        <w:rPr>
          <w:rFonts w:ascii="Arial" w:hAnsi="Arial" w:cs="Arial"/>
        </w:rPr>
      </w:pPr>
      <w:r w:rsidRPr="00FF3292">
        <w:rPr>
          <w:rFonts w:ascii="Arial" w:hAnsi="Arial" w:cs="Arial"/>
        </w:rPr>
        <w:t xml:space="preserve"> </w:t>
      </w:r>
    </w:p>
    <w:p w:rsidR="00FF3292" w:rsidRPr="00FF3292" w:rsidRDefault="00FF3292" w:rsidP="00FF3292">
      <w:pPr>
        <w:spacing w:after="0" w:line="240" w:lineRule="auto"/>
        <w:jc w:val="both"/>
        <w:rPr>
          <w:rFonts w:ascii="Arial" w:hAnsi="Arial" w:cs="Arial"/>
        </w:rPr>
      </w:pPr>
      <w:r>
        <w:rPr>
          <w:rFonts w:ascii="Arial" w:hAnsi="Arial" w:cs="Arial"/>
        </w:rPr>
        <w:t>Considering the Eskom increases</w:t>
      </w:r>
      <w:r w:rsidR="003428DA">
        <w:rPr>
          <w:rFonts w:ascii="Arial" w:hAnsi="Arial" w:cs="Arial"/>
        </w:rPr>
        <w:t>,</w:t>
      </w:r>
      <w:r>
        <w:rPr>
          <w:rFonts w:ascii="Arial" w:hAnsi="Arial" w:cs="Arial"/>
        </w:rPr>
        <w:t xml:space="preserve"> the consumer tariff had to be increased </w:t>
      </w:r>
      <w:r w:rsidR="003428DA">
        <w:rPr>
          <w:rFonts w:ascii="Arial" w:hAnsi="Arial" w:cs="Arial"/>
        </w:rPr>
        <w:t xml:space="preserve">by </w:t>
      </w:r>
      <w:r w:rsidR="00A84A8B">
        <w:rPr>
          <w:rFonts w:ascii="Arial" w:hAnsi="Arial" w:cs="Arial"/>
        </w:rPr>
        <w:t>6</w:t>
      </w:r>
      <w:r w:rsidR="007D5711">
        <w:rPr>
          <w:rFonts w:ascii="Arial" w:hAnsi="Arial" w:cs="Arial"/>
        </w:rPr>
        <w:t>.84</w:t>
      </w:r>
      <w:r>
        <w:rPr>
          <w:rFonts w:ascii="Arial" w:hAnsi="Arial" w:cs="Arial"/>
        </w:rPr>
        <w:t xml:space="preserve"> per cent to offset the </w:t>
      </w:r>
      <w:r w:rsidRPr="00FF3292">
        <w:rPr>
          <w:rFonts w:ascii="Arial" w:hAnsi="Arial" w:cs="Arial"/>
        </w:rPr>
        <w:t>additional bulk purchase cost</w:t>
      </w:r>
      <w:r>
        <w:rPr>
          <w:rFonts w:ascii="Arial" w:hAnsi="Arial" w:cs="Arial"/>
        </w:rPr>
        <w:t xml:space="preserve"> </w:t>
      </w:r>
      <w:r w:rsidR="003428DA">
        <w:rPr>
          <w:rFonts w:ascii="Arial" w:hAnsi="Arial" w:cs="Arial"/>
        </w:rPr>
        <w:t>from</w:t>
      </w:r>
      <w:r w:rsidR="004454A3">
        <w:rPr>
          <w:rFonts w:ascii="Arial" w:hAnsi="Arial" w:cs="Arial"/>
        </w:rPr>
        <w:t xml:space="preserve"> 1 July 2019</w:t>
      </w:r>
      <w:r>
        <w:rPr>
          <w:rFonts w:ascii="Arial" w:hAnsi="Arial" w:cs="Arial"/>
        </w:rPr>
        <w:t>.</w:t>
      </w:r>
      <w:r w:rsidR="003428DA">
        <w:rPr>
          <w:rFonts w:ascii="Arial" w:hAnsi="Arial" w:cs="Arial"/>
        </w:rPr>
        <w:t xml:space="preserve"> </w:t>
      </w:r>
      <w:r>
        <w:rPr>
          <w:rFonts w:ascii="Arial" w:hAnsi="Arial" w:cs="Arial"/>
        </w:rPr>
        <w:t xml:space="preserve"> </w:t>
      </w:r>
      <w:r w:rsidRPr="00FF3292">
        <w:rPr>
          <w:rFonts w:ascii="Arial" w:hAnsi="Arial" w:cs="Arial"/>
        </w:rPr>
        <w:t>Furthermore, it should be noted that</w:t>
      </w:r>
      <w:r w:rsidR="003428DA">
        <w:rPr>
          <w:rFonts w:ascii="Arial" w:hAnsi="Arial" w:cs="Arial"/>
        </w:rPr>
        <w:t xml:space="preserve"> given the magnitude of the tariff increase, it is expected to depress growth in electricity consumption, which will have a negative impact on the municipality’s revenue from electricity.</w:t>
      </w:r>
    </w:p>
    <w:p w:rsidR="00FF3292" w:rsidRPr="00FF3292" w:rsidRDefault="00FF3292" w:rsidP="00FF3292">
      <w:pPr>
        <w:spacing w:after="0" w:line="240" w:lineRule="auto"/>
        <w:jc w:val="both"/>
        <w:rPr>
          <w:rFonts w:ascii="Arial" w:hAnsi="Arial" w:cs="Arial"/>
        </w:rPr>
      </w:pPr>
    </w:p>
    <w:p w:rsidR="00FF3292" w:rsidRPr="00FF3292" w:rsidRDefault="00FF3292" w:rsidP="00FF3292">
      <w:pPr>
        <w:spacing w:after="0" w:line="240" w:lineRule="auto"/>
        <w:jc w:val="both"/>
        <w:rPr>
          <w:rFonts w:ascii="Arial" w:hAnsi="Arial" w:cs="Arial"/>
        </w:rPr>
      </w:pPr>
      <w:r w:rsidRPr="00FF3292">
        <w:rPr>
          <w:rFonts w:ascii="Arial" w:hAnsi="Arial" w:cs="Arial"/>
        </w:rPr>
        <w:t>Registered indigents will again be</w:t>
      </w:r>
      <w:r w:rsidR="00F805E3">
        <w:rPr>
          <w:rFonts w:ascii="Arial" w:hAnsi="Arial" w:cs="Arial"/>
        </w:rPr>
        <w:t xml:space="preserve"> granted 50</w:t>
      </w:r>
      <w:r w:rsidRPr="00FF3292">
        <w:rPr>
          <w:rFonts w:ascii="Arial" w:hAnsi="Arial" w:cs="Arial"/>
        </w:rPr>
        <w:t xml:space="preserve"> kWh per 30-day period free of charge. </w:t>
      </w:r>
    </w:p>
    <w:p w:rsidR="00FF3292" w:rsidRPr="00FF3292" w:rsidRDefault="00FF3292" w:rsidP="00FF3292">
      <w:pPr>
        <w:spacing w:after="0" w:line="240" w:lineRule="auto"/>
        <w:jc w:val="both"/>
        <w:rPr>
          <w:rFonts w:ascii="Arial" w:hAnsi="Arial" w:cs="Arial"/>
        </w:rPr>
      </w:pPr>
    </w:p>
    <w:p w:rsidR="00771CAB" w:rsidRDefault="00771CAB" w:rsidP="00771CAB">
      <w:pPr>
        <w:spacing w:after="0" w:line="240" w:lineRule="auto"/>
        <w:jc w:val="both"/>
        <w:rPr>
          <w:rFonts w:ascii="Arial" w:hAnsi="Arial" w:cs="Arial"/>
          <w:i/>
          <w:sz w:val="20"/>
          <w:szCs w:val="20"/>
        </w:rPr>
      </w:pPr>
    </w:p>
    <w:p w:rsidR="00F805E3" w:rsidRDefault="00F805E3" w:rsidP="002216E1">
      <w:pPr>
        <w:pStyle w:val="Caption"/>
      </w:pPr>
      <w:bookmarkStart w:id="44" w:name="_Toc287342449"/>
    </w:p>
    <w:bookmarkEnd w:id="44"/>
    <w:p w:rsidR="00FF3292" w:rsidRPr="003428DA" w:rsidRDefault="00FF3292" w:rsidP="003428DA">
      <w:pPr>
        <w:tabs>
          <w:tab w:val="left" w:pos="8760"/>
        </w:tabs>
        <w:spacing w:after="0" w:line="240" w:lineRule="auto"/>
        <w:jc w:val="both"/>
        <w:rPr>
          <w:rFonts w:ascii="Arial" w:eastAsia="Gulim" w:hAnsi="Arial" w:cs="Arial"/>
          <w:lang w:eastAsia="ko-KR"/>
        </w:rPr>
      </w:pPr>
      <w:r w:rsidRPr="003428DA">
        <w:rPr>
          <w:rFonts w:ascii="Arial" w:eastAsia="Gulim" w:hAnsi="Arial" w:cs="Arial"/>
          <w:lang w:eastAsia="ko-KR"/>
        </w:rPr>
        <w:t>It should further be noted that NERSA has advised that a stepped tariff structure need</w:t>
      </w:r>
      <w:r w:rsidR="00407E30" w:rsidRPr="003428DA">
        <w:rPr>
          <w:rFonts w:ascii="Arial" w:eastAsia="Gulim" w:hAnsi="Arial" w:cs="Arial"/>
          <w:lang w:eastAsia="ko-KR"/>
        </w:rPr>
        <w:t>s</w:t>
      </w:r>
      <w:r w:rsidRPr="003428DA">
        <w:rPr>
          <w:rFonts w:ascii="Arial" w:eastAsia="Gulim" w:hAnsi="Arial" w:cs="Arial"/>
          <w:lang w:eastAsia="ko-KR"/>
        </w:rPr>
        <w:t xml:space="preserve"> to be </w:t>
      </w:r>
      <w:r w:rsidR="003428DA">
        <w:rPr>
          <w:rFonts w:ascii="Arial" w:eastAsia="Gulim" w:hAnsi="Arial" w:cs="Arial"/>
          <w:lang w:eastAsia="ko-KR"/>
        </w:rPr>
        <w:t>implemented</w:t>
      </w:r>
      <w:r w:rsidRPr="003428DA">
        <w:rPr>
          <w:rFonts w:ascii="Arial" w:eastAsia="Gulim" w:hAnsi="Arial" w:cs="Arial"/>
          <w:lang w:eastAsia="ko-KR"/>
        </w:rPr>
        <w:t xml:space="preserve"> from 1 July 201</w:t>
      </w:r>
      <w:r w:rsidR="00F805E3">
        <w:rPr>
          <w:rFonts w:ascii="Arial" w:eastAsia="Gulim" w:hAnsi="Arial" w:cs="Arial"/>
          <w:lang w:eastAsia="ko-KR"/>
        </w:rPr>
        <w:t>1</w:t>
      </w:r>
      <w:r w:rsidRPr="003428DA">
        <w:rPr>
          <w:rFonts w:ascii="Arial" w:eastAsia="Gulim" w:hAnsi="Arial" w:cs="Arial"/>
          <w:lang w:eastAsia="ko-KR"/>
        </w:rPr>
        <w:t>.  The effect thereof will be that the higher the consumption, the higher the cost per kWh</w:t>
      </w:r>
      <w:r w:rsidR="00407E30" w:rsidRPr="003428DA">
        <w:rPr>
          <w:rFonts w:ascii="Arial" w:eastAsia="Gulim" w:hAnsi="Arial" w:cs="Arial"/>
          <w:lang w:eastAsia="ko-KR"/>
        </w:rPr>
        <w:t>.</w:t>
      </w:r>
      <w:r w:rsidRPr="003428DA">
        <w:rPr>
          <w:rFonts w:ascii="Arial" w:eastAsia="Gulim" w:hAnsi="Arial" w:cs="Arial"/>
          <w:lang w:eastAsia="ko-KR"/>
        </w:rPr>
        <w:t xml:space="preserve">  The aim is to </w:t>
      </w:r>
      <w:proofErr w:type="spellStart"/>
      <w:r w:rsidRPr="003428DA">
        <w:rPr>
          <w:rFonts w:ascii="Arial" w:eastAsia="Gulim" w:hAnsi="Arial" w:cs="Arial"/>
          <w:lang w:eastAsia="ko-KR"/>
        </w:rPr>
        <w:t>subsidise</w:t>
      </w:r>
      <w:proofErr w:type="spellEnd"/>
      <w:r w:rsidRPr="003428DA">
        <w:rPr>
          <w:rFonts w:ascii="Arial" w:eastAsia="Gulim" w:hAnsi="Arial" w:cs="Arial"/>
          <w:lang w:eastAsia="ko-KR"/>
        </w:rPr>
        <w:t xml:space="preserve"> the lower consumption users (mostly the poor).</w:t>
      </w:r>
      <w:r w:rsidR="003428DA">
        <w:rPr>
          <w:rFonts w:ascii="Arial" w:eastAsia="Gulim" w:hAnsi="Arial" w:cs="Arial"/>
          <w:lang w:eastAsia="ko-KR"/>
        </w:rPr>
        <w:t xml:space="preserve">  </w:t>
      </w:r>
      <w:r w:rsidR="00F805E3">
        <w:rPr>
          <w:rFonts w:ascii="Arial" w:eastAsia="Gulim" w:hAnsi="Arial" w:cs="Arial"/>
          <w:lang w:eastAsia="ko-KR"/>
        </w:rPr>
        <w:t>The Municipality</w:t>
      </w:r>
      <w:r w:rsidR="00C752DF" w:rsidRPr="003428DA">
        <w:rPr>
          <w:rFonts w:ascii="Arial" w:eastAsia="Gulim" w:hAnsi="Arial" w:cs="Arial"/>
          <w:lang w:eastAsia="ko-KR"/>
        </w:rPr>
        <w:t xml:space="preserve"> has entered into discussions with NERSA regarding the suitability of </w:t>
      </w:r>
      <w:r w:rsidR="00C67E06">
        <w:rPr>
          <w:rFonts w:ascii="Arial" w:eastAsia="Gulim" w:hAnsi="Arial" w:cs="Arial"/>
          <w:lang w:eastAsia="ko-KR"/>
        </w:rPr>
        <w:t xml:space="preserve">the </w:t>
      </w:r>
      <w:r w:rsidR="00C752DF" w:rsidRPr="003428DA">
        <w:rPr>
          <w:rFonts w:ascii="Arial" w:eastAsia="Gulim" w:hAnsi="Arial" w:cs="Arial"/>
          <w:lang w:eastAsia="ko-KR"/>
        </w:rPr>
        <w:t>NERSA proposed stepped tariffs compared to those alrea</w:t>
      </w:r>
      <w:r w:rsidR="00F805E3">
        <w:rPr>
          <w:rFonts w:ascii="Arial" w:eastAsia="Gulim" w:hAnsi="Arial" w:cs="Arial"/>
          <w:lang w:eastAsia="ko-KR"/>
        </w:rPr>
        <w:t>dy being implemented by the Municipality</w:t>
      </w:r>
      <w:r w:rsidR="00C752DF" w:rsidRPr="003428DA">
        <w:rPr>
          <w:rFonts w:ascii="Arial" w:eastAsia="Gulim" w:hAnsi="Arial" w:cs="Arial"/>
          <w:lang w:eastAsia="ko-KR"/>
        </w:rPr>
        <w:t xml:space="preserve"> already.</w:t>
      </w:r>
      <w:r w:rsidR="00C67E06">
        <w:rPr>
          <w:rFonts w:ascii="Arial" w:eastAsia="Gulim" w:hAnsi="Arial" w:cs="Arial"/>
          <w:lang w:eastAsia="ko-KR"/>
        </w:rPr>
        <w:t xml:space="preserve"> </w:t>
      </w:r>
      <w:r w:rsidR="00C752DF" w:rsidRPr="003428DA">
        <w:rPr>
          <w:rFonts w:ascii="Arial" w:eastAsia="Gulim" w:hAnsi="Arial" w:cs="Arial"/>
          <w:lang w:eastAsia="ko-KR"/>
        </w:rPr>
        <w:t xml:space="preserve"> Until the dis</w:t>
      </w:r>
      <w:r w:rsidR="00F805E3">
        <w:rPr>
          <w:rFonts w:ascii="Arial" w:eastAsia="Gulim" w:hAnsi="Arial" w:cs="Arial"/>
          <w:lang w:eastAsia="ko-KR"/>
        </w:rPr>
        <w:t>cussions are concluded, the Municipality</w:t>
      </w:r>
      <w:r w:rsidR="00C752DF" w:rsidRPr="003428DA">
        <w:rPr>
          <w:rFonts w:ascii="Arial" w:eastAsia="Gulim" w:hAnsi="Arial" w:cs="Arial"/>
          <w:lang w:eastAsia="ko-KR"/>
        </w:rPr>
        <w:t xml:space="preserve"> will maintain the </w:t>
      </w:r>
      <w:r w:rsidR="00C67E06">
        <w:rPr>
          <w:rFonts w:ascii="Arial" w:eastAsia="Gulim" w:hAnsi="Arial" w:cs="Arial"/>
          <w:lang w:eastAsia="ko-KR"/>
        </w:rPr>
        <w:t xml:space="preserve">current stepped </w:t>
      </w:r>
      <w:r w:rsidR="00C752DF" w:rsidRPr="003428DA">
        <w:rPr>
          <w:rFonts w:ascii="Arial" w:eastAsia="Gulim" w:hAnsi="Arial" w:cs="Arial"/>
          <w:lang w:eastAsia="ko-KR"/>
        </w:rPr>
        <w:t>structure of its electricity tariffs.</w:t>
      </w:r>
    </w:p>
    <w:p w:rsidR="00407E30" w:rsidRPr="003428DA" w:rsidRDefault="00407E30" w:rsidP="003428DA">
      <w:pPr>
        <w:tabs>
          <w:tab w:val="left" w:pos="8760"/>
        </w:tabs>
        <w:spacing w:after="0" w:line="240" w:lineRule="auto"/>
        <w:jc w:val="both"/>
        <w:rPr>
          <w:rFonts w:ascii="Arial" w:eastAsia="Gulim" w:hAnsi="Arial" w:cs="Arial"/>
          <w:lang w:eastAsia="ko-KR"/>
        </w:rPr>
      </w:pPr>
    </w:p>
    <w:p w:rsidR="00FF3292" w:rsidRPr="003428DA" w:rsidRDefault="00FF3292" w:rsidP="003428DA">
      <w:pPr>
        <w:tabs>
          <w:tab w:val="left" w:pos="8760"/>
        </w:tabs>
        <w:spacing w:after="0" w:line="240" w:lineRule="auto"/>
        <w:jc w:val="both"/>
        <w:rPr>
          <w:rFonts w:ascii="Arial" w:eastAsia="Gulim" w:hAnsi="Arial" w:cs="Arial"/>
          <w:lang w:eastAsia="ko-KR"/>
        </w:rPr>
      </w:pPr>
    </w:p>
    <w:p w:rsidR="00407E30" w:rsidRDefault="00FF3292" w:rsidP="00F44542">
      <w:pPr>
        <w:spacing w:after="0" w:line="240" w:lineRule="auto"/>
        <w:jc w:val="both"/>
        <w:rPr>
          <w:rFonts w:ascii="Arial" w:hAnsi="Arial" w:cs="Arial"/>
        </w:rPr>
      </w:pPr>
      <w:r w:rsidRPr="00FF3292">
        <w:rPr>
          <w:rFonts w:ascii="Arial" w:hAnsi="Arial" w:cs="Arial"/>
        </w:rPr>
        <w:t xml:space="preserve">The approved budget for the Electricity Division can only be </w:t>
      </w:r>
      <w:proofErr w:type="spellStart"/>
      <w:r w:rsidRPr="00FF3292">
        <w:rPr>
          <w:rFonts w:ascii="Arial" w:hAnsi="Arial" w:cs="Arial"/>
        </w:rPr>
        <w:t>utilised</w:t>
      </w:r>
      <w:proofErr w:type="spellEnd"/>
      <w:r w:rsidRPr="00FF3292">
        <w:rPr>
          <w:rFonts w:ascii="Arial" w:hAnsi="Arial" w:cs="Arial"/>
        </w:rPr>
        <w:t xml:space="preserve"> </w:t>
      </w:r>
      <w:r w:rsidR="00C752DF">
        <w:rPr>
          <w:rFonts w:ascii="Arial" w:hAnsi="Arial" w:cs="Arial"/>
        </w:rPr>
        <w:t xml:space="preserve">for certain committed </w:t>
      </w:r>
      <w:r w:rsidRPr="00FF3292">
        <w:rPr>
          <w:rFonts w:ascii="Arial" w:hAnsi="Arial" w:cs="Arial"/>
        </w:rPr>
        <w:t xml:space="preserve">upgrade projects and </w:t>
      </w:r>
      <w:r w:rsidR="00C67E06">
        <w:rPr>
          <w:rFonts w:ascii="Arial" w:hAnsi="Arial" w:cs="Arial"/>
        </w:rPr>
        <w:t xml:space="preserve">to strengthen critical </w:t>
      </w:r>
      <w:r w:rsidRPr="00FF3292">
        <w:rPr>
          <w:rFonts w:ascii="Arial" w:hAnsi="Arial" w:cs="Arial"/>
        </w:rPr>
        <w:t>infrastructure (</w:t>
      </w:r>
      <w:r w:rsidR="00C67E06">
        <w:rPr>
          <w:rFonts w:ascii="Arial" w:hAnsi="Arial" w:cs="Arial"/>
        </w:rPr>
        <w:t xml:space="preserve">e.g. </w:t>
      </w:r>
      <w:r w:rsidRPr="00FF3292">
        <w:rPr>
          <w:rFonts w:ascii="Arial" w:hAnsi="Arial" w:cs="Arial"/>
        </w:rPr>
        <w:t>substations without back-up supply)</w:t>
      </w:r>
      <w:r w:rsidR="00F805E3">
        <w:rPr>
          <w:rFonts w:ascii="Arial" w:hAnsi="Arial" w:cs="Arial"/>
        </w:rPr>
        <w:t xml:space="preserve">. </w:t>
      </w:r>
    </w:p>
    <w:p w:rsidR="00EE347D" w:rsidRPr="008D6BA7" w:rsidRDefault="00EE347D" w:rsidP="008D6BA7">
      <w:pPr>
        <w:pStyle w:val="Heading3"/>
        <w:rPr>
          <w:rFonts w:ascii="Arial" w:hAnsi="Arial" w:cs="Arial"/>
          <w:color w:val="auto"/>
        </w:rPr>
      </w:pPr>
      <w:bookmarkStart w:id="45" w:name="_Toc286034098"/>
      <w:bookmarkStart w:id="46" w:name="_Toc286034689"/>
      <w:r w:rsidRPr="008D6BA7">
        <w:rPr>
          <w:rFonts w:ascii="Arial" w:hAnsi="Arial" w:cs="Arial"/>
          <w:color w:val="auto"/>
        </w:rPr>
        <w:t>Waste Removal and Impact of Tariff Increases</w:t>
      </w:r>
      <w:bookmarkEnd w:id="45"/>
      <w:bookmarkEnd w:id="46"/>
    </w:p>
    <w:p w:rsidR="008F2BA9" w:rsidRDefault="008F2BA9" w:rsidP="00EE347D">
      <w:pPr>
        <w:spacing w:after="0" w:line="240" w:lineRule="auto"/>
        <w:jc w:val="both"/>
        <w:rPr>
          <w:rFonts w:ascii="Arial" w:hAnsi="Arial" w:cs="Arial"/>
        </w:rPr>
      </w:pPr>
    </w:p>
    <w:p w:rsidR="00EE347D" w:rsidRPr="00EE347D" w:rsidRDefault="00EE347D" w:rsidP="00EE347D">
      <w:pPr>
        <w:spacing w:after="0" w:line="240" w:lineRule="auto"/>
        <w:jc w:val="both"/>
        <w:rPr>
          <w:rFonts w:ascii="Arial" w:hAnsi="Arial" w:cs="Arial"/>
        </w:rPr>
      </w:pPr>
      <w:r w:rsidRPr="00EE347D">
        <w:rPr>
          <w:rFonts w:ascii="Arial" w:hAnsi="Arial" w:cs="Arial"/>
        </w:rPr>
        <w:t>Currently solid waste remo</w:t>
      </w:r>
      <w:r>
        <w:rPr>
          <w:rFonts w:ascii="Arial" w:hAnsi="Arial" w:cs="Arial"/>
        </w:rPr>
        <w:t xml:space="preserve">val is operating at a deficit.  It is widely accepted that the rendering of this service should at least break even, </w:t>
      </w:r>
      <w:r w:rsidRPr="00EE347D">
        <w:rPr>
          <w:rFonts w:ascii="Arial" w:hAnsi="Arial" w:cs="Arial"/>
        </w:rPr>
        <w:t>which i</w:t>
      </w:r>
      <w:r w:rsidR="00F805E3">
        <w:rPr>
          <w:rFonts w:ascii="Arial" w:hAnsi="Arial" w:cs="Arial"/>
        </w:rPr>
        <w:t>s currently not the case.  The Municipality</w:t>
      </w:r>
      <w:r>
        <w:rPr>
          <w:rFonts w:ascii="Arial" w:hAnsi="Arial" w:cs="Arial"/>
        </w:rPr>
        <w:t xml:space="preserve"> </w:t>
      </w:r>
      <w:r w:rsidRPr="00EE347D">
        <w:rPr>
          <w:rFonts w:ascii="Arial" w:hAnsi="Arial" w:cs="Arial"/>
        </w:rPr>
        <w:t xml:space="preserve">will have to implement a solid waste strategy to ensure that this service can be rendered in a sustainable manner over the medium to long-term. </w:t>
      </w:r>
      <w:r w:rsidR="00C67E06">
        <w:rPr>
          <w:rFonts w:ascii="Arial" w:hAnsi="Arial" w:cs="Arial"/>
        </w:rPr>
        <w:t xml:space="preserve"> </w:t>
      </w:r>
      <w:r w:rsidRPr="00EE347D">
        <w:rPr>
          <w:rFonts w:ascii="Arial" w:hAnsi="Arial" w:cs="Arial"/>
        </w:rPr>
        <w:t xml:space="preserve">The main contributors to this deficit are </w:t>
      </w:r>
      <w:r>
        <w:rPr>
          <w:rFonts w:ascii="Arial" w:hAnsi="Arial" w:cs="Arial"/>
        </w:rPr>
        <w:t>r</w:t>
      </w:r>
      <w:r w:rsidRPr="00EE347D">
        <w:rPr>
          <w:rFonts w:ascii="Arial" w:hAnsi="Arial" w:cs="Arial"/>
        </w:rPr>
        <w:t xml:space="preserve">epairs and </w:t>
      </w:r>
      <w:r w:rsidR="008F2BA9">
        <w:rPr>
          <w:rFonts w:ascii="Arial" w:hAnsi="Arial" w:cs="Arial"/>
        </w:rPr>
        <w:t>m</w:t>
      </w:r>
      <w:r w:rsidRPr="00EE347D">
        <w:rPr>
          <w:rFonts w:ascii="Arial" w:hAnsi="Arial" w:cs="Arial"/>
        </w:rPr>
        <w:t>aintenance</w:t>
      </w:r>
      <w:r w:rsidR="008F2BA9">
        <w:rPr>
          <w:rFonts w:ascii="Arial" w:hAnsi="Arial" w:cs="Arial"/>
        </w:rPr>
        <w:t xml:space="preserve"> on</w:t>
      </w:r>
      <w:r w:rsidRPr="00EE347D">
        <w:rPr>
          <w:rFonts w:ascii="Arial" w:hAnsi="Arial" w:cs="Arial"/>
        </w:rPr>
        <w:t xml:space="preserve"> </w:t>
      </w:r>
      <w:r>
        <w:rPr>
          <w:rFonts w:ascii="Arial" w:hAnsi="Arial" w:cs="Arial"/>
        </w:rPr>
        <w:t>vehicles, increases</w:t>
      </w:r>
      <w:r w:rsidR="008F2BA9">
        <w:rPr>
          <w:rFonts w:ascii="Arial" w:hAnsi="Arial" w:cs="Arial"/>
        </w:rPr>
        <w:t xml:space="preserve"> in</w:t>
      </w:r>
      <w:r>
        <w:rPr>
          <w:rFonts w:ascii="Arial" w:hAnsi="Arial" w:cs="Arial"/>
        </w:rPr>
        <w:t xml:space="preserve"> ge</w:t>
      </w:r>
      <w:r w:rsidRPr="00EE347D">
        <w:rPr>
          <w:rFonts w:ascii="Arial" w:hAnsi="Arial" w:cs="Arial"/>
        </w:rPr>
        <w:t xml:space="preserve">neral </w:t>
      </w:r>
      <w:r>
        <w:rPr>
          <w:rFonts w:ascii="Arial" w:hAnsi="Arial" w:cs="Arial"/>
        </w:rPr>
        <w:t>e</w:t>
      </w:r>
      <w:r w:rsidRPr="00EE347D">
        <w:rPr>
          <w:rFonts w:ascii="Arial" w:hAnsi="Arial" w:cs="Arial"/>
        </w:rPr>
        <w:t>xpen</w:t>
      </w:r>
      <w:r>
        <w:rPr>
          <w:rFonts w:ascii="Arial" w:hAnsi="Arial" w:cs="Arial"/>
        </w:rPr>
        <w:t>diture such as petrol and diesel and</w:t>
      </w:r>
      <w:r w:rsidR="008F2BA9">
        <w:rPr>
          <w:rFonts w:ascii="Arial" w:hAnsi="Arial" w:cs="Arial"/>
        </w:rPr>
        <w:t xml:space="preserve"> the</w:t>
      </w:r>
      <w:r>
        <w:rPr>
          <w:rFonts w:ascii="Arial" w:hAnsi="Arial" w:cs="Arial"/>
        </w:rPr>
        <w:t xml:space="preserve"> cost of remuneration.</w:t>
      </w:r>
      <w:r w:rsidRPr="00EE347D">
        <w:rPr>
          <w:rFonts w:ascii="Arial" w:hAnsi="Arial" w:cs="Arial"/>
        </w:rPr>
        <w:t xml:space="preserve"> </w:t>
      </w:r>
      <w:r w:rsidR="00C67E06">
        <w:rPr>
          <w:rFonts w:ascii="Arial" w:hAnsi="Arial" w:cs="Arial"/>
        </w:rPr>
        <w:t xml:space="preserve"> </w:t>
      </w:r>
      <w:r>
        <w:rPr>
          <w:rFonts w:ascii="Arial" w:hAnsi="Arial" w:cs="Arial"/>
        </w:rPr>
        <w:t xml:space="preserve">Considering the deficit, </w:t>
      </w:r>
      <w:r w:rsidRPr="00EE347D">
        <w:rPr>
          <w:rFonts w:ascii="Arial" w:hAnsi="Arial" w:cs="Arial"/>
        </w:rPr>
        <w:t xml:space="preserve">it is recommended that a comprehensive investigation </w:t>
      </w:r>
      <w:r w:rsidR="00C67E06">
        <w:rPr>
          <w:rFonts w:ascii="Arial" w:hAnsi="Arial" w:cs="Arial"/>
        </w:rPr>
        <w:t xml:space="preserve">into the cost structure of </w:t>
      </w:r>
      <w:r w:rsidRPr="00EE347D">
        <w:rPr>
          <w:rFonts w:ascii="Arial" w:hAnsi="Arial" w:cs="Arial"/>
        </w:rPr>
        <w:t xml:space="preserve">solid waste </w:t>
      </w:r>
      <w:r w:rsidR="00C67E06">
        <w:rPr>
          <w:rFonts w:ascii="Arial" w:hAnsi="Arial" w:cs="Arial"/>
        </w:rPr>
        <w:t xml:space="preserve">function be undertaken, and that this include investigating </w:t>
      </w:r>
      <w:r>
        <w:rPr>
          <w:rFonts w:ascii="Arial" w:hAnsi="Arial" w:cs="Arial"/>
        </w:rPr>
        <w:t xml:space="preserve">alternative </w:t>
      </w:r>
      <w:r w:rsidR="009E4551">
        <w:rPr>
          <w:rFonts w:ascii="Arial" w:hAnsi="Arial" w:cs="Arial"/>
        </w:rPr>
        <w:t>service delivery models</w:t>
      </w:r>
      <w:r w:rsidR="00BC6681">
        <w:rPr>
          <w:rFonts w:ascii="Arial" w:hAnsi="Arial" w:cs="Arial"/>
        </w:rPr>
        <w:t xml:space="preserve">.  The </w:t>
      </w:r>
      <w:r w:rsidR="009E4551">
        <w:rPr>
          <w:rFonts w:ascii="Arial" w:hAnsi="Arial" w:cs="Arial"/>
        </w:rPr>
        <w:t xml:space="preserve">outcomes </w:t>
      </w:r>
      <w:r w:rsidR="00BC6681">
        <w:rPr>
          <w:rFonts w:ascii="Arial" w:hAnsi="Arial" w:cs="Arial"/>
        </w:rPr>
        <w:t xml:space="preserve">of this investigation will </w:t>
      </w:r>
      <w:r w:rsidR="009E4551">
        <w:rPr>
          <w:rFonts w:ascii="Arial" w:hAnsi="Arial" w:cs="Arial"/>
        </w:rPr>
        <w:t>be incorporated into the next planning cycle.</w:t>
      </w:r>
      <w:r w:rsidRPr="00EE347D">
        <w:rPr>
          <w:rFonts w:ascii="Arial" w:hAnsi="Arial" w:cs="Arial"/>
        </w:rPr>
        <w:t xml:space="preserve"> </w:t>
      </w:r>
    </w:p>
    <w:p w:rsidR="00EE347D" w:rsidRPr="00EE347D" w:rsidRDefault="00EE347D" w:rsidP="00BC6681">
      <w:pPr>
        <w:spacing w:after="0" w:line="240" w:lineRule="auto"/>
        <w:jc w:val="both"/>
        <w:rPr>
          <w:rFonts w:ascii="Arial" w:hAnsi="Arial" w:cs="Arial"/>
        </w:rPr>
      </w:pPr>
    </w:p>
    <w:p w:rsidR="009E4551" w:rsidRDefault="004454A3" w:rsidP="00EE347D">
      <w:pPr>
        <w:spacing w:after="0" w:line="240" w:lineRule="auto"/>
        <w:jc w:val="both"/>
        <w:rPr>
          <w:rFonts w:ascii="Arial" w:hAnsi="Arial" w:cs="Arial"/>
        </w:rPr>
      </w:pPr>
      <w:r>
        <w:rPr>
          <w:rFonts w:ascii="Arial" w:hAnsi="Arial" w:cs="Arial"/>
        </w:rPr>
        <w:t>A 5.2</w:t>
      </w:r>
      <w:r w:rsidR="00A873A2">
        <w:rPr>
          <w:rFonts w:ascii="Arial" w:hAnsi="Arial" w:cs="Arial"/>
        </w:rPr>
        <w:t xml:space="preserve"> per cent</w:t>
      </w:r>
      <w:r w:rsidR="00EE347D" w:rsidRPr="00EE347D">
        <w:rPr>
          <w:rFonts w:ascii="Arial" w:hAnsi="Arial" w:cs="Arial"/>
        </w:rPr>
        <w:t xml:space="preserve"> increase in the waste removal tariff is proposed from 1 July 201</w:t>
      </w:r>
      <w:r>
        <w:rPr>
          <w:rFonts w:ascii="Arial" w:hAnsi="Arial" w:cs="Arial"/>
        </w:rPr>
        <w:t>9</w:t>
      </w:r>
      <w:r w:rsidR="009E4551">
        <w:rPr>
          <w:rFonts w:ascii="Arial" w:hAnsi="Arial" w:cs="Arial"/>
        </w:rPr>
        <w:t xml:space="preserve">. </w:t>
      </w:r>
      <w:r w:rsidR="00C67E06">
        <w:rPr>
          <w:rFonts w:ascii="Arial" w:hAnsi="Arial" w:cs="Arial"/>
        </w:rPr>
        <w:t xml:space="preserve"> </w:t>
      </w:r>
      <w:r w:rsidR="009E4551">
        <w:rPr>
          <w:rFonts w:ascii="Arial" w:hAnsi="Arial" w:cs="Arial"/>
        </w:rPr>
        <w:t xml:space="preserve">Higher increases will not be viable </w:t>
      </w:r>
      <w:r w:rsidR="00333633">
        <w:rPr>
          <w:rFonts w:ascii="Arial" w:hAnsi="Arial" w:cs="Arial"/>
        </w:rPr>
        <w:t xml:space="preserve">in </w:t>
      </w:r>
      <w:r>
        <w:rPr>
          <w:rFonts w:ascii="Arial" w:hAnsi="Arial" w:cs="Arial"/>
        </w:rPr>
        <w:t>2019/20</w:t>
      </w:r>
      <w:r w:rsidR="00C67E06">
        <w:rPr>
          <w:rFonts w:ascii="Arial" w:hAnsi="Arial" w:cs="Arial"/>
        </w:rPr>
        <w:t xml:space="preserve"> </w:t>
      </w:r>
      <w:r w:rsidR="009E4551">
        <w:rPr>
          <w:rFonts w:ascii="Arial" w:hAnsi="Arial" w:cs="Arial"/>
        </w:rPr>
        <w:t>owing to the significant increase</w:t>
      </w:r>
      <w:r w:rsidR="00BC6681">
        <w:rPr>
          <w:rFonts w:ascii="Arial" w:hAnsi="Arial" w:cs="Arial"/>
        </w:rPr>
        <w:t>s</w:t>
      </w:r>
      <w:r w:rsidR="009E4551">
        <w:rPr>
          <w:rFonts w:ascii="Arial" w:hAnsi="Arial" w:cs="Arial"/>
        </w:rPr>
        <w:t xml:space="preserve"> implemented in previous financial years as well as the </w:t>
      </w:r>
      <w:r w:rsidR="008D741A">
        <w:rPr>
          <w:rFonts w:ascii="Arial" w:hAnsi="Arial" w:cs="Arial"/>
        </w:rPr>
        <w:t xml:space="preserve">overall </w:t>
      </w:r>
      <w:r w:rsidR="009E4551">
        <w:rPr>
          <w:rFonts w:ascii="Arial" w:hAnsi="Arial" w:cs="Arial"/>
        </w:rPr>
        <w:t>impact of higher than inflation increase</w:t>
      </w:r>
      <w:r w:rsidR="008D741A">
        <w:rPr>
          <w:rFonts w:ascii="Arial" w:hAnsi="Arial" w:cs="Arial"/>
        </w:rPr>
        <w:t>s</w:t>
      </w:r>
      <w:r w:rsidR="009E4551">
        <w:rPr>
          <w:rFonts w:ascii="Arial" w:hAnsi="Arial" w:cs="Arial"/>
        </w:rPr>
        <w:t xml:space="preserve"> o</w:t>
      </w:r>
      <w:r w:rsidR="00BC6681">
        <w:rPr>
          <w:rFonts w:ascii="Arial" w:hAnsi="Arial" w:cs="Arial"/>
        </w:rPr>
        <w:t>f</w:t>
      </w:r>
      <w:r w:rsidR="009E4551">
        <w:rPr>
          <w:rFonts w:ascii="Arial" w:hAnsi="Arial" w:cs="Arial"/>
        </w:rPr>
        <w:t xml:space="preserve"> other services. </w:t>
      </w:r>
      <w:r w:rsidR="008D741A">
        <w:rPr>
          <w:rFonts w:ascii="Arial" w:hAnsi="Arial" w:cs="Arial"/>
        </w:rPr>
        <w:t xml:space="preserve"> </w:t>
      </w:r>
      <w:r w:rsidR="00333633">
        <w:rPr>
          <w:rFonts w:ascii="Arial" w:hAnsi="Arial" w:cs="Arial"/>
        </w:rPr>
        <w:t>Any incr</w:t>
      </w:r>
      <w:r>
        <w:rPr>
          <w:rFonts w:ascii="Arial" w:hAnsi="Arial" w:cs="Arial"/>
        </w:rPr>
        <w:t>ease higher than 6</w:t>
      </w:r>
      <w:r w:rsidR="009E4551">
        <w:rPr>
          <w:rFonts w:ascii="Arial" w:hAnsi="Arial" w:cs="Arial"/>
        </w:rPr>
        <w:t xml:space="preserve"> per cent would be counter-productive and </w:t>
      </w:r>
      <w:r w:rsidR="008F2BA9">
        <w:rPr>
          <w:rFonts w:ascii="Arial" w:hAnsi="Arial" w:cs="Arial"/>
        </w:rPr>
        <w:t xml:space="preserve">will </w:t>
      </w:r>
      <w:r w:rsidR="009E4551">
        <w:rPr>
          <w:rFonts w:ascii="Arial" w:hAnsi="Arial" w:cs="Arial"/>
        </w:rPr>
        <w:t>result in affordability challenges for individual rates payers raising the risk associated with bad debt.</w:t>
      </w:r>
    </w:p>
    <w:p w:rsidR="00EE347D" w:rsidRPr="00EE347D" w:rsidRDefault="009E4551" w:rsidP="00EE347D">
      <w:pPr>
        <w:spacing w:after="0" w:line="240" w:lineRule="auto"/>
        <w:jc w:val="both"/>
        <w:rPr>
          <w:rFonts w:ascii="Arial" w:hAnsi="Arial" w:cs="Arial"/>
        </w:rPr>
      </w:pPr>
      <w:r>
        <w:rPr>
          <w:rFonts w:ascii="Arial" w:hAnsi="Arial" w:cs="Arial"/>
        </w:rPr>
        <w:t xml:space="preserve"> </w:t>
      </w:r>
    </w:p>
    <w:p w:rsidR="00EE347D" w:rsidRDefault="00EE347D" w:rsidP="00EE347D">
      <w:pPr>
        <w:spacing w:after="0" w:line="240" w:lineRule="auto"/>
        <w:jc w:val="both"/>
        <w:rPr>
          <w:rFonts w:ascii="Arial" w:hAnsi="Arial" w:cs="Arial"/>
        </w:rPr>
      </w:pPr>
    </w:p>
    <w:p w:rsidR="00BC6681" w:rsidRPr="009E4551" w:rsidRDefault="00BC6681" w:rsidP="00EE347D">
      <w:pPr>
        <w:spacing w:after="0" w:line="240" w:lineRule="auto"/>
        <w:jc w:val="both"/>
        <w:rPr>
          <w:rFonts w:ascii="Arial" w:hAnsi="Arial" w:cs="Arial"/>
          <w:sz w:val="16"/>
          <w:szCs w:val="16"/>
        </w:rPr>
      </w:pPr>
    </w:p>
    <w:p w:rsidR="00EE347D" w:rsidRDefault="00EE347D" w:rsidP="009E4551">
      <w:pPr>
        <w:spacing w:after="0" w:line="240" w:lineRule="auto"/>
        <w:rPr>
          <w:rFonts w:ascii="Arial" w:hAnsi="Arial" w:cs="Arial"/>
        </w:rPr>
      </w:pPr>
    </w:p>
    <w:p w:rsidR="004C4EA1" w:rsidRPr="004C4EA1" w:rsidRDefault="004C4EA1" w:rsidP="004C4EA1">
      <w:pPr>
        <w:pStyle w:val="Heading3"/>
        <w:rPr>
          <w:rFonts w:ascii="Arial" w:hAnsi="Arial" w:cs="Arial"/>
          <w:color w:val="auto"/>
        </w:rPr>
      </w:pPr>
      <w:bookmarkStart w:id="47" w:name="_Toc286034099"/>
      <w:bookmarkStart w:id="48" w:name="_Toc286034690"/>
      <w:bookmarkStart w:id="49" w:name="_Toc286041436"/>
      <w:bookmarkStart w:id="50" w:name="_Toc286041505"/>
      <w:bookmarkStart w:id="51" w:name="_Toc286117315"/>
      <w:r w:rsidRPr="004C4EA1">
        <w:rPr>
          <w:rFonts w:ascii="Arial" w:hAnsi="Arial" w:cs="Arial"/>
          <w:color w:val="auto"/>
        </w:rPr>
        <w:t>Overall impact of tariff increases on households</w:t>
      </w:r>
    </w:p>
    <w:p w:rsidR="004C4EA1" w:rsidRDefault="004C4EA1" w:rsidP="004C4EA1">
      <w:pPr>
        <w:spacing w:after="0" w:line="240" w:lineRule="auto"/>
        <w:jc w:val="both"/>
        <w:rPr>
          <w:rFonts w:ascii="Arial" w:hAnsi="Arial" w:cs="Arial"/>
        </w:rPr>
      </w:pPr>
    </w:p>
    <w:p w:rsidR="004C4EA1" w:rsidRDefault="004C4EA1" w:rsidP="004C4EA1">
      <w:pPr>
        <w:spacing w:after="0" w:line="240" w:lineRule="auto"/>
        <w:jc w:val="both"/>
        <w:rPr>
          <w:rFonts w:ascii="Arial" w:hAnsi="Arial" w:cs="Arial"/>
        </w:rPr>
      </w:pPr>
      <w:r>
        <w:rPr>
          <w:rFonts w:ascii="Arial" w:hAnsi="Arial" w:cs="Arial"/>
        </w:rPr>
        <w:t>The following table shows the overall expected impact of the tariff increases on a large and small household, as well as an indigent household receiving free basic services.</w:t>
      </w:r>
    </w:p>
    <w:p w:rsidR="005F21E0" w:rsidRDefault="005F21E0" w:rsidP="004C4EA1">
      <w:pPr>
        <w:spacing w:after="0" w:line="240" w:lineRule="auto"/>
        <w:jc w:val="both"/>
        <w:rPr>
          <w:rFonts w:ascii="Arial" w:hAnsi="Arial" w:cs="Arial"/>
        </w:rPr>
      </w:pPr>
    </w:p>
    <w:p w:rsidR="005F21E0" w:rsidRDefault="005F21E0" w:rsidP="004C4EA1">
      <w:pPr>
        <w:spacing w:after="0" w:line="240" w:lineRule="auto"/>
        <w:jc w:val="both"/>
        <w:rPr>
          <w:rFonts w:ascii="Arial" w:hAnsi="Arial" w:cs="Arial"/>
        </w:rPr>
      </w:pPr>
    </w:p>
    <w:p w:rsidR="004C4EA1" w:rsidRPr="004E0C9C" w:rsidRDefault="004C4EA1" w:rsidP="005F21E0">
      <w:pPr>
        <w:pStyle w:val="Caption"/>
        <w:keepNext/>
        <w:keepLines/>
      </w:pPr>
      <w:bookmarkStart w:id="52" w:name="_Toc287342453"/>
      <w:r>
        <w:t xml:space="preserve">Table </w:t>
      </w:r>
      <w:r w:rsidR="00076BC0">
        <w:rPr>
          <w:noProof/>
        </w:rPr>
        <w:fldChar w:fldCharType="begin"/>
      </w:r>
      <w:r w:rsidR="00076BC0">
        <w:rPr>
          <w:noProof/>
        </w:rPr>
        <w:instrText xml:space="preserve"> SEQ Table \* ARABIC </w:instrText>
      </w:r>
      <w:r w:rsidR="00076BC0">
        <w:rPr>
          <w:noProof/>
        </w:rPr>
        <w:fldChar w:fldCharType="separate"/>
      </w:r>
      <w:r w:rsidR="00FB5E13">
        <w:rPr>
          <w:noProof/>
        </w:rPr>
        <w:t>6</w:t>
      </w:r>
      <w:r w:rsidR="00076BC0">
        <w:rPr>
          <w:noProof/>
        </w:rPr>
        <w:fldChar w:fldCharType="end"/>
      </w:r>
      <w:r>
        <w:t xml:space="preserve">  MBRR Table </w:t>
      </w:r>
      <w:r w:rsidRPr="004E0C9C">
        <w:t>SA14 – Household bills</w:t>
      </w:r>
      <w:bookmarkEnd w:id="52"/>
    </w:p>
    <w:p w:rsidR="004C4EA1" w:rsidRPr="004C0EB0" w:rsidRDefault="00E56FBA" w:rsidP="004C4EA1">
      <w:pPr>
        <w:rPr>
          <w:rFonts w:ascii="Arial" w:hAnsi="Arial" w:cs="Arial"/>
          <w:i/>
          <w:sz w:val="20"/>
          <w:szCs w:val="20"/>
        </w:rPr>
      </w:pPr>
      <w:r w:rsidRPr="00E56FBA">
        <w:rPr>
          <w:noProof/>
          <w:lang w:val="en-ZA" w:eastAsia="en-ZA"/>
        </w:rPr>
        <w:drawing>
          <wp:inline distT="0" distB="0" distL="0" distR="0">
            <wp:extent cx="5943600" cy="56621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662167"/>
                    </a:xfrm>
                    <a:prstGeom prst="rect">
                      <a:avLst/>
                    </a:prstGeom>
                    <a:noFill/>
                    <a:ln>
                      <a:noFill/>
                    </a:ln>
                  </pic:spPr>
                </pic:pic>
              </a:graphicData>
            </a:graphic>
          </wp:inline>
        </w:drawing>
      </w:r>
    </w:p>
    <w:p w:rsidR="00A054E2" w:rsidRPr="004C4EA1" w:rsidRDefault="00A054E2" w:rsidP="004C4EA1"/>
    <w:p w:rsidR="009E4551" w:rsidRPr="008D6BA7" w:rsidRDefault="00C90AD9" w:rsidP="008D6BA7">
      <w:pPr>
        <w:pStyle w:val="Heading2"/>
        <w:rPr>
          <w:rFonts w:ascii="Arial" w:hAnsi="Arial" w:cs="Arial"/>
          <w:color w:val="auto"/>
          <w:szCs w:val="22"/>
        </w:rPr>
      </w:pPr>
      <w:bookmarkStart w:id="53" w:name="_Toc287342526"/>
      <w:r>
        <w:rPr>
          <w:rFonts w:ascii="Arial" w:hAnsi="Arial" w:cs="Arial"/>
          <w:color w:val="auto"/>
          <w:szCs w:val="22"/>
        </w:rPr>
        <w:t xml:space="preserve">Operating </w:t>
      </w:r>
      <w:r w:rsidR="009E4551" w:rsidRPr="008D6BA7">
        <w:rPr>
          <w:rFonts w:ascii="Arial" w:hAnsi="Arial" w:cs="Arial"/>
          <w:color w:val="auto"/>
          <w:szCs w:val="22"/>
        </w:rPr>
        <w:t>Expenditure Framework</w:t>
      </w:r>
      <w:bookmarkEnd w:id="47"/>
      <w:bookmarkEnd w:id="48"/>
      <w:bookmarkEnd w:id="49"/>
      <w:bookmarkEnd w:id="50"/>
      <w:bookmarkEnd w:id="51"/>
      <w:bookmarkEnd w:id="53"/>
    </w:p>
    <w:p w:rsidR="009E4551" w:rsidRDefault="009E4551" w:rsidP="00D40F49">
      <w:pPr>
        <w:pStyle w:val="Paragraph"/>
        <w:tabs>
          <w:tab w:val="clear" w:pos="284"/>
          <w:tab w:val="clear" w:pos="567"/>
          <w:tab w:val="clear" w:pos="851"/>
        </w:tabs>
        <w:spacing w:after="0" w:line="240" w:lineRule="auto"/>
        <w:rPr>
          <w:rFonts w:ascii="Arial" w:hAnsi="Arial" w:cs="Arial"/>
          <w:b/>
          <w:szCs w:val="22"/>
        </w:rPr>
      </w:pPr>
    </w:p>
    <w:p w:rsidR="009E4551" w:rsidRDefault="00333633" w:rsidP="00D40F49">
      <w:pPr>
        <w:spacing w:after="0" w:line="240" w:lineRule="auto"/>
        <w:jc w:val="both"/>
        <w:rPr>
          <w:rFonts w:ascii="Arial" w:hAnsi="Arial" w:cs="Arial"/>
        </w:rPr>
      </w:pPr>
      <w:r>
        <w:rPr>
          <w:rFonts w:ascii="Arial" w:hAnsi="Arial" w:cs="Arial"/>
        </w:rPr>
        <w:t>The Municipality’s</w:t>
      </w:r>
      <w:r w:rsidR="00525D11">
        <w:rPr>
          <w:rFonts w:ascii="Arial" w:hAnsi="Arial" w:cs="Arial"/>
        </w:rPr>
        <w:t xml:space="preserve"> </w:t>
      </w:r>
      <w:r w:rsidR="00D40F49">
        <w:rPr>
          <w:rFonts w:ascii="Arial" w:hAnsi="Arial" w:cs="Arial"/>
        </w:rPr>
        <w:t xml:space="preserve">expenditure framework </w:t>
      </w:r>
      <w:r>
        <w:rPr>
          <w:rFonts w:ascii="Arial" w:hAnsi="Arial" w:cs="Arial"/>
        </w:rPr>
        <w:t xml:space="preserve">for the </w:t>
      </w:r>
      <w:r w:rsidR="004454A3">
        <w:rPr>
          <w:rFonts w:ascii="Arial" w:hAnsi="Arial" w:cs="Arial"/>
        </w:rPr>
        <w:t>2019/20</w:t>
      </w:r>
      <w:r w:rsidR="00525D11">
        <w:rPr>
          <w:rFonts w:ascii="Arial" w:hAnsi="Arial" w:cs="Arial"/>
        </w:rPr>
        <w:t xml:space="preserve"> budget and MTREF is informed by the following:</w:t>
      </w:r>
    </w:p>
    <w:p w:rsidR="009E4551" w:rsidRDefault="009E4551" w:rsidP="00D40F49">
      <w:pPr>
        <w:spacing w:after="0" w:line="240" w:lineRule="auto"/>
        <w:jc w:val="both"/>
        <w:rPr>
          <w:rFonts w:ascii="Arial" w:hAnsi="Arial" w:cs="Arial"/>
        </w:rPr>
      </w:pPr>
    </w:p>
    <w:p w:rsidR="009E4551" w:rsidRDefault="00525D1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a</w:t>
      </w:r>
      <w:r w:rsidR="004454A3">
        <w:rPr>
          <w:rFonts w:ascii="Arial" w:hAnsi="Arial" w:cs="Arial"/>
        </w:rPr>
        <w:t>sset repairs and maintenance</w:t>
      </w:r>
      <w:r w:rsidR="009E4551">
        <w:rPr>
          <w:rFonts w:ascii="Arial" w:hAnsi="Arial" w:cs="Arial"/>
        </w:rPr>
        <w:t xml:space="preserve"> </w:t>
      </w:r>
      <w:r>
        <w:rPr>
          <w:rFonts w:ascii="Arial" w:hAnsi="Arial" w:cs="Arial"/>
        </w:rPr>
        <w:t>strategy and the repairs and maintenance plan</w:t>
      </w:r>
      <w:r w:rsidR="00D40F49">
        <w:rPr>
          <w:rFonts w:ascii="Arial" w:hAnsi="Arial" w:cs="Arial"/>
        </w:rPr>
        <w:t>;</w:t>
      </w:r>
    </w:p>
    <w:p w:rsidR="0098723D" w:rsidRDefault="0098723D"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Funding of the budget over the medium-term as informed by Section 18 and 19 of the MFMA;</w:t>
      </w:r>
    </w:p>
    <w:p w:rsidR="009E4551" w:rsidRDefault="00525D1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c</w:t>
      </w:r>
      <w:r w:rsidR="009E4551">
        <w:rPr>
          <w:rFonts w:ascii="Arial" w:hAnsi="Arial" w:cs="Arial"/>
        </w:rPr>
        <w:t xml:space="preserve">apital </w:t>
      </w:r>
      <w:proofErr w:type="spellStart"/>
      <w:r w:rsidR="009E4551">
        <w:rPr>
          <w:rFonts w:ascii="Arial" w:hAnsi="Arial" w:cs="Arial"/>
        </w:rPr>
        <w:t>programme</w:t>
      </w:r>
      <w:proofErr w:type="spellEnd"/>
      <w:r w:rsidR="009E4551">
        <w:rPr>
          <w:rFonts w:ascii="Arial" w:hAnsi="Arial" w:cs="Arial"/>
        </w:rPr>
        <w:t xml:space="preserve"> </w:t>
      </w:r>
      <w:r>
        <w:rPr>
          <w:rFonts w:ascii="Arial" w:hAnsi="Arial" w:cs="Arial"/>
        </w:rPr>
        <w:t xml:space="preserve">is </w:t>
      </w:r>
      <w:r w:rsidR="009E4551">
        <w:rPr>
          <w:rFonts w:ascii="Arial" w:hAnsi="Arial" w:cs="Arial"/>
        </w:rPr>
        <w:t xml:space="preserve">aligned to </w:t>
      </w:r>
      <w:r>
        <w:rPr>
          <w:rFonts w:ascii="Arial" w:hAnsi="Arial" w:cs="Arial"/>
        </w:rPr>
        <w:t xml:space="preserve">the </w:t>
      </w:r>
      <w:r w:rsidR="009E4551">
        <w:rPr>
          <w:rFonts w:ascii="Arial" w:hAnsi="Arial" w:cs="Arial"/>
        </w:rPr>
        <w:t>asset renewal strategy and backlog eradication</w:t>
      </w:r>
      <w:r>
        <w:rPr>
          <w:rFonts w:ascii="Arial" w:hAnsi="Arial" w:cs="Arial"/>
        </w:rPr>
        <w:t xml:space="preserve"> plan</w:t>
      </w:r>
      <w:r w:rsidR="00D40F49">
        <w:rPr>
          <w:rFonts w:ascii="Arial" w:hAnsi="Arial" w:cs="Arial"/>
        </w:rPr>
        <w:t>;</w:t>
      </w:r>
    </w:p>
    <w:p w:rsidR="009E4551" w:rsidRDefault="009E455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 xml:space="preserve">Operational gains and efficiencies </w:t>
      </w:r>
      <w:r w:rsidR="00525D11">
        <w:rPr>
          <w:rFonts w:ascii="Arial" w:hAnsi="Arial" w:cs="Arial"/>
        </w:rPr>
        <w:t>will be directed to funding the capital</w:t>
      </w:r>
      <w:r w:rsidR="0098723D">
        <w:rPr>
          <w:rFonts w:ascii="Arial" w:hAnsi="Arial" w:cs="Arial"/>
        </w:rPr>
        <w:t xml:space="preserve"> budget and other core services</w:t>
      </w:r>
      <w:r w:rsidR="00D40F49">
        <w:rPr>
          <w:rFonts w:ascii="Arial" w:hAnsi="Arial" w:cs="Arial"/>
        </w:rPr>
        <w:t>; and</w:t>
      </w:r>
    </w:p>
    <w:p w:rsidR="009E4551" w:rsidRDefault="009E455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 xml:space="preserve">Strict </w:t>
      </w:r>
      <w:r w:rsidR="00525D11">
        <w:rPr>
          <w:rFonts w:ascii="Arial" w:hAnsi="Arial" w:cs="Arial"/>
        </w:rPr>
        <w:t xml:space="preserve">adherence to the </w:t>
      </w:r>
      <w:r>
        <w:rPr>
          <w:rFonts w:ascii="Arial" w:hAnsi="Arial" w:cs="Arial"/>
        </w:rPr>
        <w:t xml:space="preserve">principle of </w:t>
      </w:r>
      <w:r w:rsidRPr="000428D0">
        <w:rPr>
          <w:rFonts w:ascii="Arial" w:hAnsi="Arial" w:cs="Arial"/>
          <w:i/>
        </w:rPr>
        <w:t xml:space="preserve">no project plan </w:t>
      </w:r>
      <w:r w:rsidR="00525D11" w:rsidRPr="000428D0">
        <w:rPr>
          <w:rFonts w:ascii="Arial" w:hAnsi="Arial" w:cs="Arial"/>
          <w:i/>
        </w:rPr>
        <w:t>no budge</w:t>
      </w:r>
      <w:r w:rsidR="0098723D" w:rsidRPr="000428D0">
        <w:rPr>
          <w:rFonts w:ascii="Arial" w:hAnsi="Arial" w:cs="Arial"/>
          <w:i/>
        </w:rPr>
        <w:t>t</w:t>
      </w:r>
      <w:r w:rsidR="0098723D">
        <w:rPr>
          <w:rFonts w:ascii="Arial" w:hAnsi="Arial" w:cs="Arial"/>
        </w:rPr>
        <w:t xml:space="preserve">. </w:t>
      </w:r>
      <w:r w:rsidR="00525D11">
        <w:rPr>
          <w:rFonts w:ascii="Arial" w:hAnsi="Arial" w:cs="Arial"/>
        </w:rPr>
        <w:t xml:space="preserve"> </w:t>
      </w:r>
      <w:r w:rsidR="0098723D">
        <w:rPr>
          <w:rFonts w:ascii="Arial" w:hAnsi="Arial" w:cs="Arial"/>
        </w:rPr>
        <w:t>I</w:t>
      </w:r>
      <w:r w:rsidR="00525D11">
        <w:rPr>
          <w:rFonts w:ascii="Arial" w:hAnsi="Arial" w:cs="Arial"/>
        </w:rPr>
        <w:t xml:space="preserve">f there is no </w:t>
      </w:r>
      <w:r>
        <w:rPr>
          <w:rFonts w:ascii="Arial" w:hAnsi="Arial" w:cs="Arial"/>
        </w:rPr>
        <w:t>business plan</w:t>
      </w:r>
      <w:r w:rsidR="00525D11">
        <w:rPr>
          <w:rFonts w:ascii="Arial" w:hAnsi="Arial" w:cs="Arial"/>
        </w:rPr>
        <w:t xml:space="preserve"> no </w:t>
      </w:r>
      <w:r>
        <w:rPr>
          <w:rFonts w:ascii="Arial" w:hAnsi="Arial" w:cs="Arial"/>
        </w:rPr>
        <w:t>funding allocation</w:t>
      </w:r>
      <w:r w:rsidR="00525D11">
        <w:rPr>
          <w:rFonts w:ascii="Arial" w:hAnsi="Arial" w:cs="Arial"/>
        </w:rPr>
        <w:t xml:space="preserve"> can be made</w:t>
      </w:r>
      <w:r w:rsidR="00D40F49">
        <w:rPr>
          <w:rFonts w:ascii="Arial" w:hAnsi="Arial" w:cs="Arial"/>
        </w:rPr>
        <w:t>.</w:t>
      </w:r>
    </w:p>
    <w:p w:rsidR="009E4551" w:rsidRDefault="009E4551" w:rsidP="000428D0">
      <w:pPr>
        <w:autoSpaceDE w:val="0"/>
        <w:autoSpaceDN w:val="0"/>
        <w:adjustRightInd w:val="0"/>
        <w:spacing w:after="0" w:line="240" w:lineRule="auto"/>
        <w:rPr>
          <w:rFonts w:ascii="Arial" w:hAnsi="Arial" w:cs="Arial"/>
        </w:rPr>
      </w:pPr>
    </w:p>
    <w:p w:rsidR="00D40F49" w:rsidRDefault="009E4551" w:rsidP="00D40F49">
      <w:pPr>
        <w:spacing w:after="0" w:line="240" w:lineRule="auto"/>
        <w:jc w:val="both"/>
        <w:rPr>
          <w:rFonts w:ascii="Arial" w:hAnsi="Arial"/>
        </w:rPr>
      </w:pPr>
      <w:r w:rsidRPr="001879FF">
        <w:rPr>
          <w:rFonts w:ascii="Arial" w:hAnsi="Arial"/>
        </w:rPr>
        <w:t>The following table is a high level summary of the</w:t>
      </w:r>
      <w:r>
        <w:rPr>
          <w:rFonts w:ascii="Arial" w:hAnsi="Arial"/>
        </w:rPr>
        <w:t xml:space="preserve"> </w:t>
      </w:r>
      <w:r w:rsidR="004454A3">
        <w:rPr>
          <w:rFonts w:ascii="Arial" w:hAnsi="Arial"/>
        </w:rPr>
        <w:t>2019/20</w:t>
      </w:r>
      <w:r w:rsidRPr="001879FF">
        <w:rPr>
          <w:rFonts w:ascii="Arial" w:hAnsi="Arial"/>
        </w:rPr>
        <w:t xml:space="preserve"> </w:t>
      </w:r>
      <w:r w:rsidR="00525D11">
        <w:rPr>
          <w:rFonts w:ascii="Arial" w:hAnsi="Arial"/>
        </w:rPr>
        <w:t xml:space="preserve">budget and MTREF </w:t>
      </w:r>
      <w:r w:rsidRPr="001879FF">
        <w:rPr>
          <w:rFonts w:ascii="Arial" w:hAnsi="Arial"/>
        </w:rPr>
        <w:t xml:space="preserve">(classified per main </w:t>
      </w:r>
      <w:r w:rsidR="00D40F49">
        <w:rPr>
          <w:rFonts w:ascii="Arial" w:hAnsi="Arial"/>
        </w:rPr>
        <w:t xml:space="preserve">type </w:t>
      </w:r>
      <w:r w:rsidRPr="001879FF">
        <w:rPr>
          <w:rFonts w:ascii="Arial" w:hAnsi="Arial"/>
        </w:rPr>
        <w:t xml:space="preserve">of </w:t>
      </w:r>
      <w:r w:rsidR="00D40F49">
        <w:rPr>
          <w:rFonts w:ascii="Arial" w:hAnsi="Arial"/>
        </w:rPr>
        <w:t xml:space="preserve">operating </w:t>
      </w:r>
      <w:r w:rsidRPr="001879FF">
        <w:rPr>
          <w:rFonts w:ascii="Arial" w:hAnsi="Arial"/>
        </w:rPr>
        <w:t>expenditure)</w:t>
      </w:r>
      <w:r w:rsidR="00D40F49">
        <w:rPr>
          <w:rFonts w:ascii="Arial" w:hAnsi="Arial"/>
        </w:rPr>
        <w:t>:</w:t>
      </w:r>
    </w:p>
    <w:p w:rsidR="00525D11" w:rsidRDefault="00525D11" w:rsidP="00525D11">
      <w:pPr>
        <w:spacing w:after="0" w:line="240" w:lineRule="auto"/>
        <w:jc w:val="both"/>
        <w:rPr>
          <w:rFonts w:ascii="Arial" w:hAnsi="Arial" w:cs="Arial"/>
          <w:i/>
          <w:sz w:val="20"/>
          <w:szCs w:val="20"/>
        </w:rPr>
      </w:pPr>
    </w:p>
    <w:p w:rsidR="00525D11" w:rsidRPr="00525D11" w:rsidRDefault="002216E1" w:rsidP="002216E1">
      <w:pPr>
        <w:pStyle w:val="Caption"/>
        <w:keepNext/>
        <w:rPr>
          <w:szCs w:val="22"/>
        </w:rPr>
      </w:pPr>
      <w:bookmarkStart w:id="54" w:name="_Toc287342454"/>
      <w:r>
        <w:t xml:space="preserve">Table </w:t>
      </w:r>
      <w:r w:rsidR="00951EB5">
        <w:fldChar w:fldCharType="begin"/>
      </w:r>
      <w:r w:rsidR="009F6B4A">
        <w:instrText xml:space="preserve"> SEQ Table \* ARABIC </w:instrText>
      </w:r>
      <w:r w:rsidR="00951EB5">
        <w:fldChar w:fldCharType="separate"/>
      </w:r>
      <w:r w:rsidR="00FB5E13">
        <w:rPr>
          <w:noProof/>
        </w:rPr>
        <w:t>7</w:t>
      </w:r>
      <w:r w:rsidR="00951EB5">
        <w:rPr>
          <w:noProof/>
        </w:rPr>
        <w:fldChar w:fldCharType="end"/>
      </w:r>
      <w:r>
        <w:t xml:space="preserve">  </w:t>
      </w:r>
      <w:r w:rsidR="00525D11" w:rsidRPr="00525D11">
        <w:rPr>
          <w:szCs w:val="22"/>
        </w:rPr>
        <w:t>Summary of operating expenditure</w:t>
      </w:r>
      <w:r>
        <w:rPr>
          <w:szCs w:val="22"/>
        </w:rPr>
        <w:t xml:space="preserve"> by standard classification item</w:t>
      </w:r>
      <w:bookmarkEnd w:id="54"/>
    </w:p>
    <w:p w:rsidR="009E4551" w:rsidRDefault="00711A38" w:rsidP="00D40F49">
      <w:pPr>
        <w:spacing w:after="0" w:line="240" w:lineRule="auto"/>
        <w:jc w:val="both"/>
        <w:rPr>
          <w:rFonts w:ascii="Arial" w:hAnsi="Arial"/>
        </w:rPr>
      </w:pPr>
      <w:r w:rsidRPr="00711A38">
        <w:rPr>
          <w:noProof/>
          <w:lang w:val="en-ZA" w:eastAsia="en-ZA"/>
        </w:rPr>
        <w:drawing>
          <wp:inline distT="0" distB="0" distL="0" distR="0">
            <wp:extent cx="5943600" cy="26162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616238"/>
                    </a:xfrm>
                    <a:prstGeom prst="rect">
                      <a:avLst/>
                    </a:prstGeom>
                    <a:noFill/>
                    <a:ln>
                      <a:noFill/>
                    </a:ln>
                  </pic:spPr>
                </pic:pic>
              </a:graphicData>
            </a:graphic>
          </wp:inline>
        </w:drawing>
      </w:r>
    </w:p>
    <w:p w:rsidR="00D40F49" w:rsidRPr="00EE347D" w:rsidRDefault="00D40F49" w:rsidP="00D87635">
      <w:pPr>
        <w:spacing w:after="0" w:line="240" w:lineRule="auto"/>
        <w:jc w:val="both"/>
        <w:rPr>
          <w:rFonts w:ascii="Arial" w:hAnsi="Arial" w:cs="Arial"/>
        </w:rPr>
      </w:pPr>
    </w:p>
    <w:p w:rsidR="00D87635" w:rsidRPr="00020722" w:rsidRDefault="002216E1" w:rsidP="00581CBA">
      <w:pPr>
        <w:spacing w:after="0" w:line="240" w:lineRule="auto"/>
        <w:jc w:val="both"/>
        <w:rPr>
          <w:rFonts w:ascii="Arial" w:hAnsi="Arial" w:cs="Arial"/>
        </w:rPr>
      </w:pPr>
      <w:r>
        <w:rPr>
          <w:rFonts w:ascii="Arial" w:hAnsi="Arial" w:cs="Arial"/>
        </w:rPr>
        <w:t>The budgeted allocation for employee related costs</w:t>
      </w:r>
      <w:r w:rsidR="00333633">
        <w:rPr>
          <w:rFonts w:ascii="Arial" w:hAnsi="Arial" w:cs="Arial"/>
        </w:rPr>
        <w:t xml:space="preserve"> for the </w:t>
      </w:r>
      <w:r w:rsidR="004454A3">
        <w:rPr>
          <w:rFonts w:ascii="Arial" w:hAnsi="Arial" w:cs="Arial"/>
        </w:rPr>
        <w:t>2019/20 financial year totals R182</w:t>
      </w:r>
      <w:r w:rsidR="00333633">
        <w:rPr>
          <w:rFonts w:ascii="Arial" w:hAnsi="Arial" w:cs="Arial"/>
        </w:rPr>
        <w:t xml:space="preserve"> million</w:t>
      </w:r>
      <w:r>
        <w:rPr>
          <w:rFonts w:ascii="Arial" w:hAnsi="Arial" w:cs="Arial"/>
        </w:rPr>
        <w:t xml:space="preserve">, which equals </w:t>
      </w:r>
      <w:r w:rsidR="007D5711">
        <w:rPr>
          <w:rFonts w:ascii="Arial" w:hAnsi="Arial" w:cs="Arial"/>
        </w:rPr>
        <w:t>33</w:t>
      </w:r>
      <w:r w:rsidR="00D87635">
        <w:rPr>
          <w:rFonts w:ascii="Arial" w:hAnsi="Arial" w:cs="Arial"/>
        </w:rPr>
        <w:t xml:space="preserve"> per cent of t</w:t>
      </w:r>
      <w:r w:rsidR="00333633">
        <w:rPr>
          <w:rFonts w:ascii="Arial" w:hAnsi="Arial" w:cs="Arial"/>
        </w:rPr>
        <w:t>he total operating expenditure.</w:t>
      </w:r>
      <w:r w:rsidR="00D87635">
        <w:rPr>
          <w:rFonts w:ascii="Arial" w:hAnsi="Arial" w:cs="Arial"/>
        </w:rPr>
        <w:t xml:space="preserve"> </w:t>
      </w:r>
      <w:r w:rsidR="000428D0">
        <w:rPr>
          <w:rFonts w:ascii="Arial" w:hAnsi="Arial" w:cs="Arial"/>
        </w:rPr>
        <w:t xml:space="preserve"> </w:t>
      </w:r>
      <w:r w:rsidR="00D87635">
        <w:rPr>
          <w:rFonts w:ascii="Arial" w:hAnsi="Arial" w:cs="Arial"/>
        </w:rPr>
        <w:t xml:space="preserve">An </w:t>
      </w:r>
      <w:r w:rsidR="00581CBA">
        <w:rPr>
          <w:rFonts w:ascii="Arial" w:hAnsi="Arial" w:cs="Arial"/>
        </w:rPr>
        <w:t xml:space="preserve">annual </w:t>
      </w:r>
      <w:r w:rsidR="004454A3">
        <w:rPr>
          <w:rFonts w:ascii="Arial" w:hAnsi="Arial" w:cs="Arial"/>
        </w:rPr>
        <w:t>increase of 7.1 and 6.65</w:t>
      </w:r>
      <w:r w:rsidR="00D87635">
        <w:rPr>
          <w:rFonts w:ascii="Arial" w:hAnsi="Arial" w:cs="Arial"/>
        </w:rPr>
        <w:t xml:space="preserve"> per cent has been included in the </w:t>
      </w:r>
      <w:r w:rsidR="00581CBA">
        <w:rPr>
          <w:rFonts w:ascii="Arial" w:hAnsi="Arial" w:cs="Arial"/>
        </w:rPr>
        <w:t>two outer years of t</w:t>
      </w:r>
      <w:r w:rsidR="00333633">
        <w:rPr>
          <w:rFonts w:ascii="Arial" w:hAnsi="Arial" w:cs="Arial"/>
        </w:rPr>
        <w:t xml:space="preserve">he MTREF.  </w:t>
      </w:r>
      <w:r w:rsidR="00581CBA">
        <w:rPr>
          <w:rFonts w:ascii="Arial" w:hAnsi="Arial" w:cs="Arial"/>
        </w:rPr>
        <w:t xml:space="preserve">As part of the planning assumptions and interventions all vacancies </w:t>
      </w:r>
      <w:r w:rsidR="001B6DFF">
        <w:rPr>
          <w:rFonts w:ascii="Arial" w:hAnsi="Arial" w:cs="Arial"/>
        </w:rPr>
        <w:t xml:space="preserve">might be filled with placement method </w:t>
      </w:r>
      <w:r w:rsidR="00E706A8">
        <w:rPr>
          <w:rFonts w:ascii="Arial" w:hAnsi="Arial" w:cs="Arial"/>
        </w:rPr>
        <w:t>due to the merger that will took</w:t>
      </w:r>
      <w:r w:rsidR="001B6DFF">
        <w:rPr>
          <w:rFonts w:ascii="Arial" w:hAnsi="Arial" w:cs="Arial"/>
        </w:rPr>
        <w:t xml:space="preserve"> place in </w:t>
      </w:r>
      <w:r w:rsidR="00E706A8">
        <w:rPr>
          <w:rFonts w:ascii="Arial" w:hAnsi="Arial" w:cs="Arial"/>
        </w:rPr>
        <w:t>2016/17</w:t>
      </w:r>
      <w:r w:rsidR="001B6DFF">
        <w:rPr>
          <w:rFonts w:ascii="Arial" w:hAnsi="Arial" w:cs="Arial"/>
        </w:rPr>
        <w:t xml:space="preserve"> financial year with </w:t>
      </w:r>
      <w:proofErr w:type="spellStart"/>
      <w:r w:rsidR="001B6DFF">
        <w:rPr>
          <w:rFonts w:ascii="Arial" w:hAnsi="Arial" w:cs="Arial"/>
        </w:rPr>
        <w:t>Imbabazane</w:t>
      </w:r>
      <w:proofErr w:type="spellEnd"/>
      <w:r w:rsidR="007D5711">
        <w:rPr>
          <w:rFonts w:ascii="Arial" w:hAnsi="Arial" w:cs="Arial"/>
        </w:rPr>
        <w:t xml:space="preserve"> and </w:t>
      </w:r>
      <w:proofErr w:type="spellStart"/>
      <w:r w:rsidR="007D5711">
        <w:rPr>
          <w:rFonts w:ascii="Arial" w:hAnsi="Arial" w:cs="Arial"/>
        </w:rPr>
        <w:t>Umtshezi</w:t>
      </w:r>
      <w:proofErr w:type="spellEnd"/>
      <w:r w:rsidR="001B6DFF">
        <w:rPr>
          <w:rFonts w:ascii="Arial" w:hAnsi="Arial" w:cs="Arial"/>
        </w:rPr>
        <w:t xml:space="preserve"> Local Municipality.</w:t>
      </w:r>
    </w:p>
    <w:p w:rsidR="00D87635" w:rsidRPr="00020722" w:rsidRDefault="00D87635" w:rsidP="002216E1">
      <w:pPr>
        <w:spacing w:after="0" w:line="240" w:lineRule="auto"/>
        <w:jc w:val="both"/>
        <w:rPr>
          <w:rFonts w:ascii="Arial" w:hAnsi="Arial" w:cs="Arial"/>
        </w:rPr>
      </w:pPr>
    </w:p>
    <w:p w:rsidR="00D87635" w:rsidRPr="002216E1" w:rsidRDefault="00D87635" w:rsidP="002216E1">
      <w:pPr>
        <w:spacing w:after="0" w:line="240" w:lineRule="auto"/>
        <w:jc w:val="both"/>
        <w:rPr>
          <w:rFonts w:ascii="Arial" w:hAnsi="Arial" w:cs="Arial"/>
        </w:rPr>
      </w:pPr>
    </w:p>
    <w:p w:rsidR="00AC7AB8" w:rsidRDefault="00D87635" w:rsidP="00D87635">
      <w:pPr>
        <w:spacing w:after="0" w:line="240" w:lineRule="auto"/>
        <w:jc w:val="both"/>
        <w:rPr>
          <w:rFonts w:ascii="Arial" w:hAnsi="Arial" w:cs="Arial"/>
        </w:rPr>
      </w:pPr>
      <w:r w:rsidRPr="00D87635">
        <w:rPr>
          <w:rFonts w:ascii="Arial" w:hAnsi="Arial" w:cs="Arial"/>
        </w:rPr>
        <w:t xml:space="preserve">The cost associated with the remuneration of </w:t>
      </w:r>
      <w:proofErr w:type="spellStart"/>
      <w:r w:rsidRPr="00D87635">
        <w:rPr>
          <w:rFonts w:ascii="Arial" w:hAnsi="Arial" w:cs="Arial"/>
        </w:rPr>
        <w:t>councillors</w:t>
      </w:r>
      <w:proofErr w:type="spellEnd"/>
      <w:r w:rsidRPr="00D87635">
        <w:rPr>
          <w:rFonts w:ascii="Arial" w:hAnsi="Arial" w:cs="Arial"/>
        </w:rPr>
        <w:t xml:space="preserve"> is determined </w:t>
      </w:r>
      <w:r w:rsidR="00A61550">
        <w:rPr>
          <w:rFonts w:ascii="Arial" w:hAnsi="Arial" w:cs="Arial"/>
        </w:rPr>
        <w:t>by the Minister of Co</w:t>
      </w:r>
      <w:r w:rsidR="000428D0">
        <w:rPr>
          <w:rFonts w:ascii="Arial" w:hAnsi="Arial" w:cs="Arial"/>
        </w:rPr>
        <w:t>-</w:t>
      </w:r>
      <w:r w:rsidR="00A61550">
        <w:rPr>
          <w:rFonts w:ascii="Arial" w:hAnsi="Arial" w:cs="Arial"/>
        </w:rPr>
        <w:t xml:space="preserve">operative Governance and Traditional Affairs in accordance with the </w:t>
      </w:r>
      <w:r w:rsidRPr="00D87635">
        <w:rPr>
          <w:rFonts w:ascii="Arial" w:hAnsi="Arial" w:cs="Arial"/>
        </w:rPr>
        <w:t>Remuneration of Public Office Bearers Act, 1998 (Act 20 of 1998).</w:t>
      </w:r>
      <w:r w:rsidR="00A61550">
        <w:rPr>
          <w:rFonts w:ascii="Arial" w:hAnsi="Arial" w:cs="Arial"/>
        </w:rPr>
        <w:t xml:space="preserve"> </w:t>
      </w:r>
      <w:r w:rsidR="000428D0">
        <w:rPr>
          <w:rFonts w:ascii="Arial" w:hAnsi="Arial" w:cs="Arial"/>
        </w:rPr>
        <w:t xml:space="preserve"> </w:t>
      </w:r>
      <w:r w:rsidR="00A61550">
        <w:rPr>
          <w:rFonts w:ascii="Arial" w:hAnsi="Arial" w:cs="Arial"/>
        </w:rPr>
        <w:t>The most recent proclamation in this regard has been taken into</w:t>
      </w:r>
      <w:r w:rsidR="001B6DFF">
        <w:rPr>
          <w:rFonts w:ascii="Arial" w:hAnsi="Arial" w:cs="Arial"/>
        </w:rPr>
        <w:t xml:space="preserve"> account in compiling the Municipality’s</w:t>
      </w:r>
      <w:r w:rsidR="00A61550">
        <w:rPr>
          <w:rFonts w:ascii="Arial" w:hAnsi="Arial" w:cs="Arial"/>
        </w:rPr>
        <w:t xml:space="preserve"> budget.</w:t>
      </w:r>
    </w:p>
    <w:p w:rsidR="00AC7AB8" w:rsidRDefault="00AC7AB8" w:rsidP="00D87635">
      <w:pPr>
        <w:spacing w:after="0" w:line="240" w:lineRule="auto"/>
        <w:jc w:val="both"/>
        <w:rPr>
          <w:rFonts w:ascii="Arial" w:hAnsi="Arial" w:cs="Arial"/>
        </w:rPr>
      </w:pPr>
    </w:p>
    <w:p w:rsidR="00AC7AB8" w:rsidRDefault="00AC7AB8" w:rsidP="00D87635">
      <w:pPr>
        <w:spacing w:after="0" w:line="240" w:lineRule="auto"/>
        <w:jc w:val="both"/>
        <w:rPr>
          <w:rFonts w:ascii="Arial" w:hAnsi="Arial" w:cs="Arial"/>
        </w:rPr>
      </w:pPr>
      <w:r>
        <w:rPr>
          <w:rFonts w:ascii="Arial" w:hAnsi="Arial" w:cs="Arial"/>
        </w:rPr>
        <w:t>Provision for depreciation and asset impairment has been informed by the Municipality’s Asset Management Policy.</w:t>
      </w:r>
      <w:r w:rsidR="000428D0">
        <w:rPr>
          <w:rFonts w:ascii="Arial" w:hAnsi="Arial" w:cs="Arial"/>
        </w:rPr>
        <w:t xml:space="preserve"> </w:t>
      </w:r>
      <w:r>
        <w:rPr>
          <w:rFonts w:ascii="Arial" w:hAnsi="Arial" w:cs="Arial"/>
        </w:rPr>
        <w:t xml:space="preserve"> Depreciation is widely considered a proxy for the measurement of the rate asset consumption. </w:t>
      </w:r>
      <w:r w:rsidR="000428D0">
        <w:rPr>
          <w:rFonts w:ascii="Arial" w:hAnsi="Arial" w:cs="Arial"/>
        </w:rPr>
        <w:t xml:space="preserve"> </w:t>
      </w:r>
      <w:r>
        <w:rPr>
          <w:rFonts w:ascii="Arial" w:hAnsi="Arial" w:cs="Arial"/>
        </w:rPr>
        <w:t>Budget appropri</w:t>
      </w:r>
      <w:r w:rsidR="006A78D7">
        <w:rPr>
          <w:rFonts w:ascii="Arial" w:hAnsi="Arial" w:cs="Arial"/>
        </w:rPr>
        <w:t>a</w:t>
      </w:r>
      <w:r w:rsidR="004454A3">
        <w:rPr>
          <w:rFonts w:ascii="Arial" w:hAnsi="Arial" w:cs="Arial"/>
        </w:rPr>
        <w:t>tions in this regard total R57</w:t>
      </w:r>
      <w:r w:rsidR="00F44542">
        <w:rPr>
          <w:rFonts w:ascii="Arial" w:hAnsi="Arial" w:cs="Arial"/>
        </w:rPr>
        <w:t xml:space="preserve"> </w:t>
      </w:r>
      <w:r w:rsidR="001B6DFF">
        <w:rPr>
          <w:rFonts w:ascii="Arial" w:hAnsi="Arial" w:cs="Arial"/>
        </w:rPr>
        <w:t xml:space="preserve">million for the </w:t>
      </w:r>
      <w:r w:rsidR="004454A3">
        <w:rPr>
          <w:rFonts w:ascii="Arial" w:hAnsi="Arial" w:cs="Arial"/>
        </w:rPr>
        <w:t xml:space="preserve">2019/20 </w:t>
      </w:r>
      <w:r w:rsidR="001B6DFF">
        <w:rPr>
          <w:rFonts w:ascii="Arial" w:hAnsi="Arial" w:cs="Arial"/>
        </w:rPr>
        <w:t>financial</w:t>
      </w:r>
      <w:r w:rsidR="004454A3">
        <w:rPr>
          <w:rFonts w:ascii="Arial" w:hAnsi="Arial" w:cs="Arial"/>
        </w:rPr>
        <w:t>s and equates to 10</w:t>
      </w:r>
      <w:r>
        <w:rPr>
          <w:rFonts w:ascii="Arial" w:hAnsi="Arial" w:cs="Arial"/>
        </w:rPr>
        <w:t xml:space="preserve"> per cent of the total operating expenditure.</w:t>
      </w:r>
      <w:r w:rsidR="00A61550">
        <w:rPr>
          <w:rFonts w:ascii="Arial" w:hAnsi="Arial" w:cs="Arial"/>
        </w:rPr>
        <w:t xml:space="preserve"> </w:t>
      </w:r>
      <w:r w:rsidR="000428D0">
        <w:rPr>
          <w:rFonts w:ascii="Arial" w:hAnsi="Arial" w:cs="Arial"/>
        </w:rPr>
        <w:t xml:space="preserve"> </w:t>
      </w:r>
      <w:r w:rsidR="00A61550">
        <w:rPr>
          <w:rFonts w:ascii="Arial" w:hAnsi="Arial" w:cs="Arial"/>
        </w:rPr>
        <w:t>Note that the implementation of GRAP 1</w:t>
      </w:r>
      <w:r w:rsidR="002E3FB1">
        <w:rPr>
          <w:rFonts w:ascii="Arial" w:hAnsi="Arial" w:cs="Arial"/>
        </w:rPr>
        <w:t>7</w:t>
      </w:r>
      <w:r w:rsidR="00A61550">
        <w:rPr>
          <w:rFonts w:ascii="Arial" w:hAnsi="Arial" w:cs="Arial"/>
        </w:rPr>
        <w:t xml:space="preserve"> accounting standard has meant bringing a range of assets previously not included in the assets register onto the register.</w:t>
      </w:r>
    </w:p>
    <w:p w:rsidR="00AC7AB8" w:rsidRDefault="00AC7AB8" w:rsidP="00D87635">
      <w:pPr>
        <w:spacing w:after="0" w:line="240" w:lineRule="auto"/>
        <w:jc w:val="both"/>
        <w:rPr>
          <w:rFonts w:ascii="Arial" w:hAnsi="Arial" w:cs="Arial"/>
        </w:rPr>
      </w:pPr>
    </w:p>
    <w:p w:rsidR="00581CBA" w:rsidRDefault="00AC7AB8" w:rsidP="00D87635">
      <w:pPr>
        <w:spacing w:after="0" w:line="240" w:lineRule="auto"/>
        <w:jc w:val="both"/>
        <w:rPr>
          <w:rFonts w:ascii="Arial" w:hAnsi="Arial" w:cs="Arial"/>
        </w:rPr>
      </w:pPr>
      <w:r>
        <w:rPr>
          <w:rFonts w:ascii="Arial" w:hAnsi="Arial" w:cs="Arial"/>
        </w:rPr>
        <w:t xml:space="preserve">Finance charges </w:t>
      </w:r>
      <w:r w:rsidR="00695063">
        <w:rPr>
          <w:rFonts w:ascii="Arial" w:hAnsi="Arial" w:cs="Arial"/>
        </w:rPr>
        <w:t xml:space="preserve">consist </w:t>
      </w:r>
      <w:r>
        <w:rPr>
          <w:rFonts w:ascii="Arial" w:hAnsi="Arial" w:cs="Arial"/>
        </w:rPr>
        <w:t>primarily of the repayment of interest on long-term borrowing (cost of capital)</w:t>
      </w:r>
      <w:r w:rsidR="0053223C">
        <w:rPr>
          <w:rFonts w:ascii="Arial" w:hAnsi="Arial" w:cs="Arial"/>
        </w:rPr>
        <w:t xml:space="preserve"> and lease</w:t>
      </w:r>
      <w:r>
        <w:rPr>
          <w:rFonts w:ascii="Arial" w:hAnsi="Arial" w:cs="Arial"/>
        </w:rPr>
        <w:t xml:space="preserve">. </w:t>
      </w:r>
      <w:r w:rsidR="00695063">
        <w:rPr>
          <w:rFonts w:ascii="Arial" w:hAnsi="Arial" w:cs="Arial"/>
        </w:rPr>
        <w:t xml:space="preserve"> F</w:t>
      </w:r>
      <w:r w:rsidR="0053223C">
        <w:rPr>
          <w:rFonts w:ascii="Arial" w:hAnsi="Arial" w:cs="Arial"/>
        </w:rPr>
        <w:t xml:space="preserve">inance charges make up </w:t>
      </w:r>
      <w:r w:rsidR="004454A3">
        <w:rPr>
          <w:rFonts w:ascii="Arial" w:hAnsi="Arial" w:cs="Arial"/>
        </w:rPr>
        <w:t>1.6</w:t>
      </w:r>
      <w:r>
        <w:rPr>
          <w:rFonts w:ascii="Arial" w:hAnsi="Arial" w:cs="Arial"/>
        </w:rPr>
        <w:t xml:space="preserve"> per cent</w:t>
      </w:r>
      <w:r w:rsidR="004454A3">
        <w:rPr>
          <w:rFonts w:ascii="Arial" w:hAnsi="Arial" w:cs="Arial"/>
        </w:rPr>
        <w:t xml:space="preserve"> (R9.2 mil</w:t>
      </w:r>
      <w:r w:rsidR="00B926E5">
        <w:rPr>
          <w:rFonts w:ascii="Arial" w:hAnsi="Arial" w:cs="Arial"/>
        </w:rPr>
        <w:t>)</w:t>
      </w:r>
      <w:r>
        <w:rPr>
          <w:rFonts w:ascii="Arial" w:hAnsi="Arial" w:cs="Arial"/>
        </w:rPr>
        <w:t xml:space="preserve"> of </w:t>
      </w:r>
      <w:r w:rsidR="00695063">
        <w:rPr>
          <w:rFonts w:ascii="Arial" w:hAnsi="Arial" w:cs="Arial"/>
        </w:rPr>
        <w:t xml:space="preserve">operating </w:t>
      </w:r>
      <w:r w:rsidR="0053223C">
        <w:rPr>
          <w:rFonts w:ascii="Arial" w:hAnsi="Arial" w:cs="Arial"/>
        </w:rPr>
        <w:t>expenditure.  As previously noted, the Municipality</w:t>
      </w:r>
      <w:r w:rsidR="00FC1EF5">
        <w:rPr>
          <w:rFonts w:ascii="Arial" w:hAnsi="Arial" w:cs="Arial"/>
        </w:rPr>
        <w:t xml:space="preserve"> has reached its prudential limits for borrowing</w:t>
      </w:r>
      <w:r w:rsidR="0053223C">
        <w:rPr>
          <w:rFonts w:ascii="Arial" w:hAnsi="Arial" w:cs="Arial"/>
        </w:rPr>
        <w:t xml:space="preserve"> because of poor cash flow position.</w:t>
      </w:r>
    </w:p>
    <w:p w:rsidR="00B926E5" w:rsidRDefault="00B926E5" w:rsidP="00D87635">
      <w:pPr>
        <w:spacing w:after="0" w:line="240" w:lineRule="auto"/>
        <w:jc w:val="both"/>
        <w:rPr>
          <w:rFonts w:ascii="Arial" w:hAnsi="Arial" w:cs="Arial"/>
        </w:rPr>
      </w:pPr>
    </w:p>
    <w:p w:rsidR="00B926E5" w:rsidRDefault="00B926E5" w:rsidP="00D87635">
      <w:pPr>
        <w:spacing w:after="0" w:line="240" w:lineRule="auto"/>
        <w:jc w:val="both"/>
        <w:rPr>
          <w:rFonts w:ascii="Arial" w:hAnsi="Arial" w:cs="Arial"/>
        </w:rPr>
      </w:pPr>
      <w:r>
        <w:rPr>
          <w:rFonts w:ascii="Arial" w:hAnsi="Arial" w:cs="Arial"/>
        </w:rPr>
        <w:t xml:space="preserve">Bulk purchases </w:t>
      </w:r>
      <w:r w:rsidR="00695063">
        <w:rPr>
          <w:rFonts w:ascii="Arial" w:hAnsi="Arial" w:cs="Arial"/>
        </w:rPr>
        <w:t>are</w:t>
      </w:r>
      <w:r>
        <w:rPr>
          <w:rFonts w:ascii="Arial" w:hAnsi="Arial" w:cs="Arial"/>
        </w:rPr>
        <w:t xml:space="preserve"> directly informed by the purchase of electricity from</w:t>
      </w:r>
      <w:r w:rsidR="0053223C">
        <w:rPr>
          <w:rFonts w:ascii="Arial" w:hAnsi="Arial" w:cs="Arial"/>
        </w:rPr>
        <w:t xml:space="preserve"> Eskom</w:t>
      </w:r>
      <w:r>
        <w:rPr>
          <w:rFonts w:ascii="Arial" w:hAnsi="Arial" w:cs="Arial"/>
        </w:rPr>
        <w:t xml:space="preserve">. </w:t>
      </w:r>
      <w:r w:rsidR="00695063">
        <w:rPr>
          <w:rFonts w:ascii="Arial" w:hAnsi="Arial" w:cs="Arial"/>
        </w:rPr>
        <w:t xml:space="preserve"> </w:t>
      </w:r>
      <w:r>
        <w:rPr>
          <w:rFonts w:ascii="Arial" w:hAnsi="Arial" w:cs="Arial"/>
        </w:rPr>
        <w:t>The annual price increases have been factored into the budget appropriations and directl</w:t>
      </w:r>
      <w:r w:rsidR="00BC54DE">
        <w:rPr>
          <w:rFonts w:ascii="Arial" w:hAnsi="Arial" w:cs="Arial"/>
        </w:rPr>
        <w:t>y inform the revenue provisions</w:t>
      </w:r>
      <w:r w:rsidR="00FC1EF5">
        <w:rPr>
          <w:rFonts w:ascii="Arial" w:hAnsi="Arial" w:cs="Arial"/>
        </w:rPr>
        <w:t xml:space="preserve">. </w:t>
      </w:r>
      <w:r w:rsidR="00695063">
        <w:rPr>
          <w:rFonts w:ascii="Arial" w:hAnsi="Arial" w:cs="Arial"/>
        </w:rPr>
        <w:t xml:space="preserve"> </w:t>
      </w:r>
      <w:r w:rsidR="00FC1EF5">
        <w:rPr>
          <w:rFonts w:ascii="Arial" w:hAnsi="Arial" w:cs="Arial"/>
        </w:rPr>
        <w:t xml:space="preserve">The expenditures include </w:t>
      </w:r>
      <w:r w:rsidR="006A78D7">
        <w:rPr>
          <w:rFonts w:ascii="Arial" w:hAnsi="Arial" w:cs="Arial"/>
        </w:rPr>
        <w:t>distribution losse</w:t>
      </w:r>
      <w:r w:rsidR="00BC54DE">
        <w:rPr>
          <w:rFonts w:ascii="Arial" w:hAnsi="Arial" w:cs="Arial"/>
        </w:rPr>
        <w:t>s.</w:t>
      </w:r>
    </w:p>
    <w:p w:rsidR="00B926E5" w:rsidRDefault="00B926E5" w:rsidP="00D87635">
      <w:pPr>
        <w:spacing w:after="0" w:line="240" w:lineRule="auto"/>
        <w:jc w:val="both"/>
        <w:rPr>
          <w:rFonts w:ascii="Arial" w:hAnsi="Arial" w:cs="Arial"/>
        </w:rPr>
      </w:pPr>
    </w:p>
    <w:p w:rsidR="007A5EFD" w:rsidRDefault="00B926E5" w:rsidP="00D87635">
      <w:pPr>
        <w:spacing w:after="0" w:line="240" w:lineRule="auto"/>
        <w:jc w:val="both"/>
        <w:rPr>
          <w:rFonts w:ascii="Arial" w:hAnsi="Arial" w:cs="Arial"/>
        </w:rPr>
      </w:pPr>
      <w:r>
        <w:rPr>
          <w:rFonts w:ascii="Arial" w:hAnsi="Arial" w:cs="Arial"/>
        </w:rPr>
        <w:t>Other materials</w:t>
      </w:r>
      <w:r w:rsidR="007A5EFD">
        <w:rPr>
          <w:rFonts w:ascii="Arial" w:hAnsi="Arial" w:cs="Arial"/>
        </w:rPr>
        <w:t xml:space="preserve"> comprises of amongst oth</w:t>
      </w:r>
      <w:r w:rsidR="006A78D7">
        <w:rPr>
          <w:rFonts w:ascii="Arial" w:hAnsi="Arial" w:cs="Arial"/>
        </w:rPr>
        <w:t>ers</w:t>
      </w:r>
      <w:r w:rsidR="007A5EFD">
        <w:rPr>
          <w:rFonts w:ascii="Arial" w:hAnsi="Arial" w:cs="Arial"/>
        </w:rPr>
        <w:t>, materials for</w:t>
      </w:r>
      <w:r w:rsidR="006A78D7">
        <w:rPr>
          <w:rFonts w:ascii="Arial" w:hAnsi="Arial" w:cs="Arial"/>
        </w:rPr>
        <w:t xml:space="preserve"> maintenance,</w:t>
      </w:r>
      <w:r w:rsidR="00FC1EF5">
        <w:rPr>
          <w:rFonts w:ascii="Arial" w:hAnsi="Arial" w:cs="Arial"/>
        </w:rPr>
        <w:t xml:space="preserve"> and chemicals.</w:t>
      </w:r>
      <w:r w:rsidR="00695063">
        <w:rPr>
          <w:rFonts w:ascii="Arial" w:hAnsi="Arial" w:cs="Arial"/>
        </w:rPr>
        <w:t xml:space="preserve"> </w:t>
      </w:r>
      <w:r w:rsidR="0053223C">
        <w:rPr>
          <w:rFonts w:ascii="Arial" w:hAnsi="Arial" w:cs="Arial"/>
        </w:rPr>
        <w:t xml:space="preserve"> In line with the Municipality</w:t>
      </w:r>
      <w:r w:rsidR="00FC1EF5">
        <w:rPr>
          <w:rFonts w:ascii="Arial" w:hAnsi="Arial" w:cs="Arial"/>
        </w:rPr>
        <w:t xml:space="preserve"> repairs and maintenance plan </w:t>
      </w:r>
      <w:r w:rsidR="007A5EFD">
        <w:rPr>
          <w:rFonts w:ascii="Arial" w:hAnsi="Arial" w:cs="Arial"/>
        </w:rPr>
        <w:t xml:space="preserve">this group of expenditure has been </w:t>
      </w:r>
      <w:r w:rsidR="006A78D7">
        <w:rPr>
          <w:rFonts w:ascii="Arial" w:hAnsi="Arial" w:cs="Arial"/>
        </w:rPr>
        <w:t>prioritized</w:t>
      </w:r>
      <w:r w:rsidR="007A5EFD">
        <w:rPr>
          <w:rFonts w:ascii="Arial" w:hAnsi="Arial" w:cs="Arial"/>
        </w:rPr>
        <w:t xml:space="preserve"> to ensure sustai</w:t>
      </w:r>
      <w:r w:rsidR="0053223C">
        <w:rPr>
          <w:rFonts w:ascii="Arial" w:hAnsi="Arial" w:cs="Arial"/>
        </w:rPr>
        <w:t>nability of the Municipality’s</w:t>
      </w:r>
      <w:r w:rsidR="007A5EFD">
        <w:rPr>
          <w:rFonts w:ascii="Arial" w:hAnsi="Arial" w:cs="Arial"/>
        </w:rPr>
        <w:t xml:space="preserve"> infrastructure.</w:t>
      </w:r>
      <w:r w:rsidR="00695063">
        <w:rPr>
          <w:rFonts w:ascii="Arial" w:hAnsi="Arial" w:cs="Arial"/>
        </w:rPr>
        <w:t xml:space="preserve"> </w:t>
      </w:r>
      <w:r w:rsidR="0053223C">
        <w:rPr>
          <w:rFonts w:ascii="Arial" w:hAnsi="Arial" w:cs="Arial"/>
        </w:rPr>
        <w:t xml:space="preserve"> For </w:t>
      </w:r>
      <w:r w:rsidR="004454A3">
        <w:rPr>
          <w:rFonts w:ascii="Arial" w:hAnsi="Arial" w:cs="Arial"/>
        </w:rPr>
        <w:t>2019/20</w:t>
      </w:r>
      <w:r w:rsidR="007A5EFD">
        <w:rPr>
          <w:rFonts w:ascii="Arial" w:hAnsi="Arial" w:cs="Arial"/>
        </w:rPr>
        <w:t xml:space="preserve"> the appropriation against this group </w:t>
      </w:r>
      <w:r w:rsidR="0053223C">
        <w:rPr>
          <w:rFonts w:ascii="Arial" w:hAnsi="Arial" w:cs="Arial"/>
        </w:rPr>
        <w:t>o</w:t>
      </w:r>
      <w:r w:rsidR="00962C25">
        <w:rPr>
          <w:rFonts w:ascii="Arial" w:hAnsi="Arial" w:cs="Arial"/>
        </w:rPr>
        <w:t xml:space="preserve">f expenditure has </w:t>
      </w:r>
      <w:r w:rsidR="004454A3">
        <w:rPr>
          <w:rFonts w:ascii="Arial" w:hAnsi="Arial" w:cs="Arial"/>
        </w:rPr>
        <w:t>increased by 21 per cent (R2 051</w:t>
      </w:r>
      <w:r w:rsidR="00FB6218">
        <w:rPr>
          <w:rFonts w:ascii="Arial" w:hAnsi="Arial" w:cs="Arial"/>
        </w:rPr>
        <w:t xml:space="preserve"> 000). Other m</w:t>
      </w:r>
      <w:r w:rsidR="004454A3">
        <w:rPr>
          <w:rFonts w:ascii="Arial" w:hAnsi="Arial" w:cs="Arial"/>
        </w:rPr>
        <w:t>aterials will then increase by 5.4</w:t>
      </w:r>
      <w:r w:rsidR="00FB6218">
        <w:rPr>
          <w:rFonts w:ascii="Arial" w:hAnsi="Arial" w:cs="Arial"/>
        </w:rPr>
        <w:t xml:space="preserve"> % in the two outer years.</w:t>
      </w:r>
    </w:p>
    <w:p w:rsidR="007A5EFD" w:rsidRDefault="007A5EFD" w:rsidP="00D87635">
      <w:pPr>
        <w:spacing w:after="0" w:line="240" w:lineRule="auto"/>
        <w:jc w:val="both"/>
        <w:rPr>
          <w:rFonts w:ascii="Arial" w:hAnsi="Arial" w:cs="Arial"/>
        </w:rPr>
      </w:pPr>
    </w:p>
    <w:p w:rsidR="002000D2" w:rsidRPr="00CA426C" w:rsidRDefault="007A5EFD" w:rsidP="002000D2">
      <w:pPr>
        <w:spacing w:after="0" w:line="240" w:lineRule="auto"/>
        <w:jc w:val="both"/>
        <w:rPr>
          <w:rFonts w:ascii="Arial" w:hAnsi="Arial" w:cs="Arial"/>
        </w:rPr>
      </w:pPr>
      <w:r>
        <w:rPr>
          <w:rFonts w:ascii="Arial" w:hAnsi="Arial" w:cs="Arial"/>
        </w:rPr>
        <w:t xml:space="preserve">Contracted </w:t>
      </w:r>
      <w:r w:rsidR="00FC1EF5">
        <w:rPr>
          <w:rFonts w:ascii="Arial" w:hAnsi="Arial" w:cs="Arial"/>
        </w:rPr>
        <w:t>s</w:t>
      </w:r>
      <w:r w:rsidR="00323B35">
        <w:rPr>
          <w:rFonts w:ascii="Arial" w:hAnsi="Arial" w:cs="Arial"/>
        </w:rPr>
        <w:t>ervices comprises of Security Services</w:t>
      </w:r>
      <w:r>
        <w:rPr>
          <w:rFonts w:ascii="Arial" w:hAnsi="Arial" w:cs="Arial"/>
        </w:rPr>
        <w:t>.</w:t>
      </w:r>
      <w:r w:rsidR="00695063">
        <w:rPr>
          <w:rFonts w:ascii="Arial" w:hAnsi="Arial" w:cs="Arial"/>
        </w:rPr>
        <w:t xml:space="preserve"> </w:t>
      </w:r>
      <w:r>
        <w:rPr>
          <w:rFonts w:ascii="Arial" w:hAnsi="Arial" w:cs="Arial"/>
        </w:rPr>
        <w:t xml:space="preserve"> As part o</w:t>
      </w:r>
      <w:r w:rsidR="00323B35">
        <w:rPr>
          <w:rFonts w:ascii="Arial" w:hAnsi="Arial" w:cs="Arial"/>
        </w:rPr>
        <w:t xml:space="preserve">f the compilation of the </w:t>
      </w:r>
      <w:r w:rsidR="004454A3">
        <w:rPr>
          <w:rFonts w:ascii="Arial" w:hAnsi="Arial" w:cs="Arial"/>
        </w:rPr>
        <w:t>2019/20</w:t>
      </w:r>
      <w:r>
        <w:rPr>
          <w:rFonts w:ascii="Arial" w:hAnsi="Arial" w:cs="Arial"/>
        </w:rPr>
        <w:t xml:space="preserve"> MTREF this group of expenditure was critically evaluated and operational efficiencies were </w:t>
      </w:r>
      <w:r w:rsidR="00FC1EF5">
        <w:rPr>
          <w:rFonts w:ascii="Arial" w:hAnsi="Arial" w:cs="Arial"/>
        </w:rPr>
        <w:t>enforced</w:t>
      </w:r>
      <w:r w:rsidR="002000D2">
        <w:rPr>
          <w:rFonts w:ascii="Arial" w:hAnsi="Arial" w:cs="Arial"/>
        </w:rPr>
        <w:t>.</w:t>
      </w:r>
      <w:r w:rsidR="00FC1EF5">
        <w:rPr>
          <w:rFonts w:ascii="Arial" w:hAnsi="Arial" w:cs="Arial"/>
        </w:rPr>
        <w:t xml:space="preserve"> </w:t>
      </w:r>
      <w:r w:rsidR="002000D2">
        <w:rPr>
          <w:rFonts w:ascii="Arial" w:hAnsi="Arial" w:cs="Arial"/>
        </w:rPr>
        <w:t xml:space="preserve"> In the </w:t>
      </w:r>
      <w:r w:rsidR="004454A3">
        <w:rPr>
          <w:rFonts w:ascii="Arial" w:hAnsi="Arial" w:cs="Arial"/>
        </w:rPr>
        <w:t>2019/20</w:t>
      </w:r>
      <w:r w:rsidR="002000D2">
        <w:rPr>
          <w:rFonts w:ascii="Arial" w:hAnsi="Arial" w:cs="Arial"/>
        </w:rPr>
        <w:t xml:space="preserve"> financial year, this group </w:t>
      </w:r>
      <w:r w:rsidR="004454A3">
        <w:rPr>
          <w:rFonts w:ascii="Arial" w:hAnsi="Arial" w:cs="Arial"/>
        </w:rPr>
        <w:t>of expenditure totals R36</w:t>
      </w:r>
      <w:r w:rsidR="00E706A8">
        <w:rPr>
          <w:rFonts w:ascii="Arial" w:hAnsi="Arial" w:cs="Arial"/>
        </w:rPr>
        <w:t xml:space="preserve"> </w:t>
      </w:r>
      <w:r w:rsidR="00323B35">
        <w:rPr>
          <w:rFonts w:ascii="Arial" w:hAnsi="Arial" w:cs="Arial"/>
        </w:rPr>
        <w:t>million</w:t>
      </w:r>
      <w:r w:rsidR="00962C25">
        <w:rPr>
          <w:rFonts w:ascii="Arial" w:hAnsi="Arial" w:cs="Arial"/>
        </w:rPr>
        <w:t xml:space="preserve"> and has decreased by 1.82</w:t>
      </w:r>
      <w:r w:rsidR="00FB6218">
        <w:rPr>
          <w:rFonts w:ascii="Arial" w:hAnsi="Arial" w:cs="Arial"/>
        </w:rPr>
        <w:t xml:space="preserve"> per cent</w:t>
      </w:r>
      <w:r w:rsidR="002000D2">
        <w:rPr>
          <w:rFonts w:ascii="Arial" w:hAnsi="Arial" w:cs="Arial"/>
        </w:rPr>
        <w:t xml:space="preserve">, clearly demonstrating the application of cost efficiencies. </w:t>
      </w:r>
      <w:r w:rsidR="00FC1EF5">
        <w:rPr>
          <w:rFonts w:ascii="Arial" w:hAnsi="Arial" w:cs="Arial"/>
        </w:rPr>
        <w:t xml:space="preserve"> </w:t>
      </w:r>
      <w:r w:rsidR="002000D2">
        <w:rPr>
          <w:rFonts w:ascii="Arial" w:hAnsi="Arial" w:cs="Arial"/>
        </w:rPr>
        <w:t>For the two outer year</w:t>
      </w:r>
      <w:r w:rsidR="004454A3">
        <w:rPr>
          <w:rFonts w:ascii="Arial" w:hAnsi="Arial" w:cs="Arial"/>
        </w:rPr>
        <w:t>s growth has been limited to 5.4</w:t>
      </w:r>
      <w:r w:rsidR="002000D2">
        <w:rPr>
          <w:rFonts w:ascii="Arial" w:hAnsi="Arial" w:cs="Arial"/>
        </w:rPr>
        <w:t xml:space="preserve"> per cent. </w:t>
      </w:r>
      <w:r w:rsidR="00FC1EF5">
        <w:rPr>
          <w:rFonts w:ascii="Arial" w:hAnsi="Arial" w:cs="Arial"/>
        </w:rPr>
        <w:t xml:space="preserve"> </w:t>
      </w:r>
    </w:p>
    <w:p w:rsidR="002000D2" w:rsidRDefault="002000D2" w:rsidP="002000D2">
      <w:pPr>
        <w:spacing w:after="0" w:line="240" w:lineRule="auto"/>
        <w:jc w:val="both"/>
        <w:rPr>
          <w:rFonts w:ascii="Arial" w:hAnsi="Arial" w:cs="Arial"/>
        </w:rPr>
      </w:pPr>
    </w:p>
    <w:p w:rsidR="00695063" w:rsidRDefault="002000D2" w:rsidP="002000D2">
      <w:pPr>
        <w:spacing w:after="0" w:line="240" w:lineRule="auto"/>
        <w:jc w:val="both"/>
        <w:rPr>
          <w:rFonts w:ascii="Arial" w:hAnsi="Arial" w:cs="Arial"/>
        </w:rPr>
      </w:pPr>
      <w:r>
        <w:rPr>
          <w:rFonts w:ascii="Arial" w:hAnsi="Arial" w:cs="Arial"/>
        </w:rPr>
        <w:t>Other expenditure comprises of various line items relating to</w:t>
      </w:r>
      <w:r w:rsidR="00CA426C">
        <w:rPr>
          <w:rFonts w:ascii="Arial" w:hAnsi="Arial" w:cs="Arial"/>
        </w:rPr>
        <w:t xml:space="preserve"> the </w:t>
      </w:r>
      <w:r>
        <w:rPr>
          <w:rFonts w:ascii="Arial" w:hAnsi="Arial" w:cs="Arial"/>
        </w:rPr>
        <w:t>daily operati</w:t>
      </w:r>
      <w:r w:rsidR="00CA426C">
        <w:rPr>
          <w:rFonts w:ascii="Arial" w:hAnsi="Arial" w:cs="Arial"/>
        </w:rPr>
        <w:t xml:space="preserve">ons </w:t>
      </w:r>
      <w:r>
        <w:rPr>
          <w:rFonts w:ascii="Arial" w:hAnsi="Arial" w:cs="Arial"/>
        </w:rPr>
        <w:t xml:space="preserve">of the </w:t>
      </w:r>
      <w:r w:rsidR="00FC1EF5">
        <w:rPr>
          <w:rFonts w:ascii="Arial" w:hAnsi="Arial" w:cs="Arial"/>
        </w:rPr>
        <w:t>m</w:t>
      </w:r>
      <w:r>
        <w:rPr>
          <w:rFonts w:ascii="Arial" w:hAnsi="Arial" w:cs="Arial"/>
        </w:rPr>
        <w:t xml:space="preserve">unicipality. </w:t>
      </w:r>
      <w:r w:rsidR="00FB6218">
        <w:rPr>
          <w:rFonts w:ascii="Arial" w:hAnsi="Arial" w:cs="Arial"/>
        </w:rPr>
        <w:t xml:space="preserve">Due to the </w:t>
      </w:r>
      <w:r w:rsidR="00051B32">
        <w:rPr>
          <w:rFonts w:ascii="Arial" w:hAnsi="Arial" w:cs="Arial"/>
        </w:rPr>
        <w:t>cash flows</w:t>
      </w:r>
      <w:r w:rsidR="00FB6218">
        <w:rPr>
          <w:rFonts w:ascii="Arial" w:hAnsi="Arial" w:cs="Arial"/>
        </w:rPr>
        <w:t xml:space="preserve"> problems that the municipality is facing</w:t>
      </w:r>
      <w:r w:rsidR="00051B32">
        <w:rPr>
          <w:rFonts w:ascii="Arial" w:hAnsi="Arial" w:cs="Arial"/>
        </w:rPr>
        <w:t xml:space="preserve">, general expenditure items have been decreased significantly for the </w:t>
      </w:r>
      <w:r w:rsidR="004454A3">
        <w:rPr>
          <w:rFonts w:ascii="Arial" w:hAnsi="Arial" w:cs="Arial"/>
        </w:rPr>
        <w:t>2019/20</w:t>
      </w:r>
      <w:r w:rsidR="00051B32">
        <w:rPr>
          <w:rFonts w:ascii="Arial" w:hAnsi="Arial" w:cs="Arial"/>
        </w:rPr>
        <w:t xml:space="preserve"> financial year. </w:t>
      </w:r>
    </w:p>
    <w:p w:rsidR="00323B35" w:rsidRDefault="00323B35" w:rsidP="002000D2">
      <w:pPr>
        <w:spacing w:after="0" w:line="240" w:lineRule="auto"/>
        <w:jc w:val="both"/>
        <w:rPr>
          <w:rFonts w:ascii="Arial" w:hAnsi="Arial" w:cs="Arial"/>
          <w:color w:val="FF0000"/>
        </w:rPr>
      </w:pPr>
    </w:p>
    <w:p w:rsidR="00245051" w:rsidRDefault="00245051" w:rsidP="002000D2">
      <w:pPr>
        <w:spacing w:after="0" w:line="240" w:lineRule="auto"/>
        <w:jc w:val="both"/>
        <w:rPr>
          <w:rFonts w:ascii="Arial" w:hAnsi="Arial" w:cs="Arial"/>
        </w:rPr>
      </w:pPr>
      <w:r>
        <w:rPr>
          <w:rFonts w:ascii="Arial" w:hAnsi="Arial" w:cs="Arial"/>
        </w:rPr>
        <w:t xml:space="preserve">The following table </w:t>
      </w:r>
      <w:r w:rsidR="00646A54">
        <w:rPr>
          <w:rFonts w:ascii="Arial" w:hAnsi="Arial" w:cs="Arial"/>
        </w:rPr>
        <w:t>give</w:t>
      </w:r>
      <w:r>
        <w:rPr>
          <w:rFonts w:ascii="Arial" w:hAnsi="Arial" w:cs="Arial"/>
        </w:rPr>
        <w:t>s a breakdown of the main expend</w:t>
      </w:r>
      <w:r w:rsidR="00323B35">
        <w:rPr>
          <w:rFonts w:ascii="Arial" w:hAnsi="Arial" w:cs="Arial"/>
        </w:rPr>
        <w:t xml:space="preserve">iture categories for the </w:t>
      </w:r>
      <w:r w:rsidR="004454A3">
        <w:rPr>
          <w:rFonts w:ascii="Arial" w:hAnsi="Arial" w:cs="Arial"/>
        </w:rPr>
        <w:t>2019/20</w:t>
      </w:r>
      <w:r>
        <w:rPr>
          <w:rFonts w:ascii="Arial" w:hAnsi="Arial" w:cs="Arial"/>
        </w:rPr>
        <w:t xml:space="preserve"> financial year.</w:t>
      </w:r>
    </w:p>
    <w:p w:rsidR="00245051" w:rsidRDefault="00245051" w:rsidP="002000D2">
      <w:pPr>
        <w:spacing w:after="0" w:line="240" w:lineRule="auto"/>
        <w:jc w:val="both"/>
        <w:rPr>
          <w:rFonts w:ascii="Arial" w:hAnsi="Arial" w:cs="Arial"/>
        </w:rPr>
      </w:pPr>
    </w:p>
    <w:p w:rsidR="00245051" w:rsidRPr="00AC6505" w:rsidRDefault="00711A38" w:rsidP="00AC6505">
      <w:pPr>
        <w:spacing w:after="0" w:line="240" w:lineRule="auto"/>
        <w:jc w:val="both"/>
        <w:rPr>
          <w:rFonts w:ascii="Arial" w:hAnsi="Arial" w:cs="Arial"/>
        </w:rPr>
      </w:pPr>
      <w:r>
        <w:rPr>
          <w:noProof/>
          <w:lang w:val="en-ZA" w:eastAsia="en-ZA"/>
        </w:rPr>
        <w:drawing>
          <wp:inline distT="0" distB="0" distL="0" distR="0" wp14:anchorId="25307A77" wp14:editId="52F0E14E">
            <wp:extent cx="5147945" cy="3381375"/>
            <wp:effectExtent l="0" t="0" r="1460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6A54" w:rsidRPr="00646A54" w:rsidRDefault="00646A54" w:rsidP="00646A54"/>
    <w:p w:rsidR="00CA426C" w:rsidRDefault="00614638" w:rsidP="00614638">
      <w:pPr>
        <w:pStyle w:val="Heading3"/>
        <w:rPr>
          <w:rFonts w:ascii="Arial" w:hAnsi="Arial" w:cs="Arial"/>
          <w:color w:val="auto"/>
        </w:rPr>
      </w:pPr>
      <w:r w:rsidRPr="00614638">
        <w:rPr>
          <w:rFonts w:ascii="Arial" w:hAnsi="Arial" w:cs="Arial"/>
          <w:color w:val="auto"/>
        </w:rPr>
        <w:t>Priority given to repairs and maintenance</w:t>
      </w:r>
    </w:p>
    <w:p w:rsidR="00C25BF5" w:rsidRDefault="00C25BF5" w:rsidP="00CA426C">
      <w:pPr>
        <w:spacing w:after="0" w:line="240" w:lineRule="auto"/>
        <w:jc w:val="both"/>
        <w:rPr>
          <w:rFonts w:ascii="Arial" w:hAnsi="Arial" w:cs="Arial"/>
        </w:rPr>
      </w:pPr>
    </w:p>
    <w:p w:rsidR="00CA426C" w:rsidRDefault="00CA426C" w:rsidP="00CA426C">
      <w:pPr>
        <w:spacing w:after="0" w:line="240" w:lineRule="auto"/>
        <w:jc w:val="both"/>
        <w:rPr>
          <w:rFonts w:ascii="Arial" w:hAnsi="Arial" w:cs="Arial"/>
        </w:rPr>
      </w:pPr>
      <w:r w:rsidRPr="00B3651F">
        <w:rPr>
          <w:rFonts w:ascii="Arial" w:hAnsi="Arial" w:cs="Arial"/>
        </w:rPr>
        <w:t xml:space="preserve">Aligned to </w:t>
      </w:r>
      <w:r w:rsidR="00614638">
        <w:rPr>
          <w:rFonts w:ascii="Arial" w:hAnsi="Arial" w:cs="Arial"/>
        </w:rPr>
        <w:t xml:space="preserve">the priority being given to </w:t>
      </w:r>
      <w:r w:rsidRPr="00B3651F">
        <w:rPr>
          <w:rFonts w:ascii="Arial" w:hAnsi="Arial" w:cs="Arial"/>
        </w:rPr>
        <w:t xml:space="preserve">preserving and maintaining </w:t>
      </w:r>
      <w:r w:rsidR="00323B35">
        <w:rPr>
          <w:rFonts w:ascii="Arial" w:hAnsi="Arial" w:cs="Arial"/>
        </w:rPr>
        <w:t>the Municipal</w:t>
      </w:r>
      <w:r w:rsidR="00F74680">
        <w:rPr>
          <w:rFonts w:ascii="Arial" w:hAnsi="Arial" w:cs="Arial"/>
        </w:rPr>
        <w:t>ity’s</w:t>
      </w:r>
      <w:r w:rsidR="00614638">
        <w:rPr>
          <w:rFonts w:ascii="Arial" w:hAnsi="Arial" w:cs="Arial"/>
        </w:rPr>
        <w:t xml:space="preserve"> </w:t>
      </w:r>
      <w:r w:rsidR="00695063">
        <w:rPr>
          <w:rFonts w:ascii="Arial" w:hAnsi="Arial" w:cs="Arial"/>
        </w:rPr>
        <w:t>cur</w:t>
      </w:r>
      <w:r w:rsidR="00F74680">
        <w:rPr>
          <w:rFonts w:ascii="Arial" w:hAnsi="Arial" w:cs="Arial"/>
        </w:rPr>
        <w:t xml:space="preserve">rent infrastructure, the </w:t>
      </w:r>
      <w:r w:rsidR="004454A3">
        <w:rPr>
          <w:rFonts w:ascii="Arial" w:hAnsi="Arial" w:cs="Arial"/>
        </w:rPr>
        <w:t>2019/20</w:t>
      </w:r>
      <w:r w:rsidR="00695063">
        <w:rPr>
          <w:rFonts w:ascii="Arial" w:hAnsi="Arial" w:cs="Arial"/>
        </w:rPr>
        <w:t xml:space="preserve"> budget and MTREF </w:t>
      </w:r>
      <w:r w:rsidR="00F74680">
        <w:rPr>
          <w:rFonts w:ascii="Arial" w:hAnsi="Arial" w:cs="Arial"/>
        </w:rPr>
        <w:t>provide for</w:t>
      </w:r>
      <w:r w:rsidRPr="00B3651F">
        <w:rPr>
          <w:rFonts w:ascii="Arial" w:hAnsi="Arial" w:cs="Arial"/>
        </w:rPr>
        <w:t xml:space="preserve"> growth in th</w:t>
      </w:r>
      <w:r w:rsidR="00BC54DE">
        <w:rPr>
          <w:rFonts w:ascii="Arial" w:hAnsi="Arial" w:cs="Arial"/>
        </w:rPr>
        <w:t xml:space="preserve">e area of asset maintenance, </w:t>
      </w:r>
      <w:r>
        <w:rPr>
          <w:rFonts w:ascii="Arial" w:hAnsi="Arial" w:cs="Arial"/>
        </w:rPr>
        <w:t xml:space="preserve">as informed by the asset renewal strategy </w:t>
      </w:r>
      <w:r w:rsidR="00614638">
        <w:rPr>
          <w:rFonts w:ascii="Arial" w:hAnsi="Arial" w:cs="Arial"/>
        </w:rPr>
        <w:t xml:space="preserve">and repairs and maintenance plan </w:t>
      </w:r>
      <w:r w:rsidR="00F74680">
        <w:rPr>
          <w:rFonts w:ascii="Arial" w:hAnsi="Arial" w:cs="Arial"/>
        </w:rPr>
        <w:t>of the Municipality</w:t>
      </w:r>
      <w:r w:rsidRPr="00B3651F">
        <w:rPr>
          <w:rFonts w:ascii="Arial" w:hAnsi="Arial" w:cs="Arial"/>
        </w:rPr>
        <w:t>.</w:t>
      </w:r>
      <w:r>
        <w:rPr>
          <w:rFonts w:ascii="Arial" w:hAnsi="Arial" w:cs="Arial"/>
        </w:rPr>
        <w:t xml:space="preserve"> </w:t>
      </w:r>
      <w:r w:rsidR="00614638">
        <w:rPr>
          <w:rFonts w:ascii="Arial" w:hAnsi="Arial" w:cs="Arial"/>
        </w:rPr>
        <w:t xml:space="preserve"> </w:t>
      </w:r>
      <w:r>
        <w:rPr>
          <w:rFonts w:ascii="Arial" w:hAnsi="Arial" w:cs="Arial"/>
        </w:rPr>
        <w:t xml:space="preserve">In terms of the Municipal Budget and Reporting Regulations, operational repairs and maintenance is not considered a direct expenditure </w:t>
      </w:r>
      <w:r w:rsidR="00E62840">
        <w:rPr>
          <w:rFonts w:ascii="Arial" w:hAnsi="Arial" w:cs="Arial"/>
        </w:rPr>
        <w:t>driver but a</w:t>
      </w:r>
      <w:r w:rsidR="00614638">
        <w:rPr>
          <w:rFonts w:ascii="Arial" w:hAnsi="Arial" w:cs="Arial"/>
        </w:rPr>
        <w:t>n</w:t>
      </w:r>
      <w:r w:rsidR="00E62840">
        <w:rPr>
          <w:rFonts w:ascii="Arial" w:hAnsi="Arial" w:cs="Arial"/>
        </w:rPr>
        <w:t xml:space="preserve"> outcome of certain </w:t>
      </w:r>
      <w:r w:rsidR="00614638">
        <w:rPr>
          <w:rFonts w:ascii="Arial" w:hAnsi="Arial" w:cs="Arial"/>
        </w:rPr>
        <w:t xml:space="preserve">other </w:t>
      </w:r>
      <w:r w:rsidR="00E62840">
        <w:rPr>
          <w:rFonts w:ascii="Arial" w:hAnsi="Arial" w:cs="Arial"/>
        </w:rPr>
        <w:t>expenditures, such as remuneration, purchase</w:t>
      </w:r>
      <w:r w:rsidR="00695063">
        <w:rPr>
          <w:rFonts w:ascii="Arial" w:hAnsi="Arial" w:cs="Arial"/>
        </w:rPr>
        <w:t>s</w:t>
      </w:r>
      <w:r w:rsidR="00E62840">
        <w:rPr>
          <w:rFonts w:ascii="Arial" w:hAnsi="Arial" w:cs="Arial"/>
        </w:rPr>
        <w:t xml:space="preserve"> of material</w:t>
      </w:r>
      <w:r w:rsidR="00695063">
        <w:rPr>
          <w:rFonts w:ascii="Arial" w:hAnsi="Arial" w:cs="Arial"/>
        </w:rPr>
        <w:t>s</w:t>
      </w:r>
      <w:r w:rsidR="008F62C6">
        <w:rPr>
          <w:rFonts w:ascii="Arial" w:hAnsi="Arial" w:cs="Arial"/>
        </w:rPr>
        <w:t xml:space="preserve"> and contracted services. </w:t>
      </w:r>
      <w:r w:rsidR="00614638">
        <w:rPr>
          <w:rFonts w:ascii="Arial" w:hAnsi="Arial" w:cs="Arial"/>
        </w:rPr>
        <w:t xml:space="preserve"> </w:t>
      </w:r>
      <w:r w:rsidR="008F62C6">
        <w:rPr>
          <w:rFonts w:ascii="Arial" w:hAnsi="Arial" w:cs="Arial"/>
        </w:rPr>
        <w:t>Considering these cost drivers, the follow</w:t>
      </w:r>
      <w:r w:rsidR="00614638">
        <w:rPr>
          <w:rFonts w:ascii="Arial" w:hAnsi="Arial" w:cs="Arial"/>
        </w:rPr>
        <w:t>ing</w:t>
      </w:r>
      <w:r w:rsidR="008F62C6">
        <w:rPr>
          <w:rFonts w:ascii="Arial" w:hAnsi="Arial" w:cs="Arial"/>
        </w:rPr>
        <w:t xml:space="preserve"> table is a consolidation of all the expenditures associated with repairs and maintenance:</w:t>
      </w:r>
    </w:p>
    <w:p w:rsidR="00614638" w:rsidRDefault="00614638" w:rsidP="00614638">
      <w:pPr>
        <w:spacing w:after="0" w:line="240" w:lineRule="auto"/>
        <w:jc w:val="both"/>
        <w:rPr>
          <w:rFonts w:ascii="Arial" w:hAnsi="Arial" w:cs="Arial"/>
          <w:i/>
          <w:sz w:val="20"/>
          <w:szCs w:val="20"/>
        </w:rPr>
      </w:pPr>
    </w:p>
    <w:p w:rsidR="00614638" w:rsidRPr="00614638" w:rsidRDefault="00614638" w:rsidP="00646A54">
      <w:pPr>
        <w:pStyle w:val="Caption"/>
        <w:keepNext/>
        <w:keepLines/>
      </w:pPr>
      <w:bookmarkStart w:id="55" w:name="_Toc287342455"/>
      <w:r>
        <w:t xml:space="preserve">Table </w:t>
      </w:r>
      <w:r w:rsidR="00951EB5">
        <w:fldChar w:fldCharType="begin"/>
      </w:r>
      <w:r w:rsidR="009F6B4A">
        <w:instrText xml:space="preserve"> SEQ Table \* ARABIC </w:instrText>
      </w:r>
      <w:r w:rsidR="00951EB5">
        <w:fldChar w:fldCharType="separate"/>
      </w:r>
      <w:r w:rsidR="00FB5E13">
        <w:rPr>
          <w:noProof/>
        </w:rPr>
        <w:t>8</w:t>
      </w:r>
      <w:r w:rsidR="00951EB5">
        <w:rPr>
          <w:noProof/>
        </w:rPr>
        <w:fldChar w:fldCharType="end"/>
      </w:r>
      <w:r>
        <w:t xml:space="preserve">  </w:t>
      </w:r>
      <w:r w:rsidRPr="00614638">
        <w:t>Operational repairs and maintenance</w:t>
      </w:r>
      <w:bookmarkEnd w:id="55"/>
    </w:p>
    <w:p w:rsidR="008F62C6" w:rsidRDefault="004454A3" w:rsidP="00CA426C">
      <w:pPr>
        <w:spacing w:after="0" w:line="240" w:lineRule="auto"/>
        <w:jc w:val="both"/>
        <w:rPr>
          <w:rFonts w:ascii="Arial" w:hAnsi="Arial" w:cs="Arial"/>
        </w:rPr>
      </w:pPr>
      <w:r w:rsidRPr="004454A3">
        <w:drawing>
          <wp:inline distT="0" distB="0" distL="0" distR="0">
            <wp:extent cx="5943489" cy="9810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1990" cy="982478"/>
                    </a:xfrm>
                    <a:prstGeom prst="rect">
                      <a:avLst/>
                    </a:prstGeom>
                    <a:noFill/>
                    <a:ln>
                      <a:noFill/>
                    </a:ln>
                  </pic:spPr>
                </pic:pic>
              </a:graphicData>
            </a:graphic>
          </wp:inline>
        </w:drawing>
      </w:r>
    </w:p>
    <w:p w:rsidR="00CA426C" w:rsidRDefault="00CA426C" w:rsidP="00CA426C">
      <w:pPr>
        <w:spacing w:after="0" w:line="240" w:lineRule="auto"/>
        <w:jc w:val="both"/>
        <w:rPr>
          <w:rFonts w:ascii="Arial" w:hAnsi="Arial" w:cs="Arial"/>
        </w:rPr>
      </w:pPr>
    </w:p>
    <w:p w:rsidR="00CA426C" w:rsidRDefault="008F62C6" w:rsidP="00EB17B4">
      <w:pPr>
        <w:spacing w:after="0" w:line="240" w:lineRule="auto"/>
        <w:jc w:val="both"/>
        <w:rPr>
          <w:rFonts w:ascii="Arial" w:hAnsi="Arial" w:cs="Arial"/>
        </w:rPr>
      </w:pPr>
      <w:r>
        <w:rPr>
          <w:rFonts w:ascii="Arial" w:hAnsi="Arial" w:cs="Arial"/>
        </w:rPr>
        <w:t xml:space="preserve">During the compilation of the </w:t>
      </w:r>
      <w:r w:rsidR="00962C25">
        <w:rPr>
          <w:rFonts w:ascii="Arial" w:hAnsi="Arial" w:cs="Arial"/>
        </w:rPr>
        <w:t>2017/18</w:t>
      </w:r>
      <w:r w:rsidR="008011C4">
        <w:rPr>
          <w:rFonts w:ascii="Arial" w:hAnsi="Arial" w:cs="Arial"/>
        </w:rPr>
        <w:t xml:space="preserve"> Adjustments Budget repairs and maintenance </w:t>
      </w:r>
      <w:r w:rsidR="004454A3">
        <w:rPr>
          <w:rFonts w:ascii="Arial" w:hAnsi="Arial" w:cs="Arial"/>
        </w:rPr>
        <w:t>is 12</w:t>
      </w:r>
      <w:r w:rsidR="008011C4">
        <w:rPr>
          <w:rFonts w:ascii="Arial" w:hAnsi="Arial" w:cs="Arial"/>
        </w:rPr>
        <w:t xml:space="preserve"> millio</w:t>
      </w:r>
      <w:r w:rsidR="00962C25">
        <w:rPr>
          <w:rFonts w:ascii="Arial" w:hAnsi="Arial" w:cs="Arial"/>
        </w:rPr>
        <w:t>n. The municipality has purchased</w:t>
      </w:r>
      <w:r w:rsidR="008011C4">
        <w:rPr>
          <w:rFonts w:ascii="Arial" w:hAnsi="Arial" w:cs="Arial"/>
        </w:rPr>
        <w:t xml:space="preserve"> new fleet and plant</w:t>
      </w:r>
      <w:r w:rsidR="00962C25">
        <w:rPr>
          <w:rFonts w:ascii="Arial" w:hAnsi="Arial" w:cs="Arial"/>
        </w:rPr>
        <w:t xml:space="preserve"> during 2013</w:t>
      </w:r>
      <w:r w:rsidR="008011C4">
        <w:rPr>
          <w:rFonts w:ascii="Arial" w:hAnsi="Arial" w:cs="Arial"/>
        </w:rPr>
        <w:t>. This has resulted in less repairs and maintenance of vehicles due the fact that the old vehicles wer</w:t>
      </w:r>
      <w:r w:rsidR="00D42F2C">
        <w:rPr>
          <w:rFonts w:ascii="Arial" w:hAnsi="Arial" w:cs="Arial"/>
        </w:rPr>
        <w:t>e auctioned and the new fleet d</w:t>
      </w:r>
      <w:r w:rsidR="008011C4">
        <w:rPr>
          <w:rFonts w:ascii="Arial" w:hAnsi="Arial" w:cs="Arial"/>
        </w:rPr>
        <w:t>oes</w:t>
      </w:r>
      <w:r w:rsidR="00D42F2C">
        <w:rPr>
          <w:rFonts w:ascii="Arial" w:hAnsi="Arial" w:cs="Arial"/>
        </w:rPr>
        <w:t xml:space="preserve"> </w:t>
      </w:r>
      <w:r w:rsidR="008011C4">
        <w:rPr>
          <w:rFonts w:ascii="Arial" w:hAnsi="Arial" w:cs="Arial"/>
        </w:rPr>
        <w:t>n</w:t>
      </w:r>
      <w:r w:rsidR="00D42F2C">
        <w:rPr>
          <w:rFonts w:ascii="Arial" w:hAnsi="Arial" w:cs="Arial"/>
        </w:rPr>
        <w:t>o</w:t>
      </w:r>
      <w:r w:rsidR="008011C4">
        <w:rPr>
          <w:rFonts w:ascii="Arial" w:hAnsi="Arial" w:cs="Arial"/>
        </w:rPr>
        <w:t xml:space="preserve">t need a lot of repairs. Repairs and maintenance still </w:t>
      </w:r>
      <w:r w:rsidR="005B7D94">
        <w:rPr>
          <w:rFonts w:ascii="Arial" w:hAnsi="Arial" w:cs="Arial"/>
        </w:rPr>
        <w:t>remains a priority as can be seen by the budget appropriations over the MTREF</w:t>
      </w:r>
      <w:r w:rsidR="008011C4">
        <w:rPr>
          <w:rFonts w:ascii="Arial" w:hAnsi="Arial" w:cs="Arial"/>
        </w:rPr>
        <w:t xml:space="preserve"> ot</w:t>
      </w:r>
      <w:r w:rsidR="004454A3">
        <w:rPr>
          <w:rFonts w:ascii="Arial" w:hAnsi="Arial" w:cs="Arial"/>
        </w:rPr>
        <w:t>her materials will increase by 5.4</w:t>
      </w:r>
      <w:r w:rsidR="008011C4">
        <w:rPr>
          <w:rFonts w:ascii="Arial" w:hAnsi="Arial" w:cs="Arial"/>
        </w:rPr>
        <w:t xml:space="preserve"> per cent in the two outer years</w:t>
      </w:r>
      <w:r w:rsidR="005B7D94">
        <w:rPr>
          <w:rFonts w:ascii="Arial" w:hAnsi="Arial" w:cs="Arial"/>
        </w:rPr>
        <w:t>.</w:t>
      </w:r>
      <w:r w:rsidR="00D42F2C">
        <w:rPr>
          <w:rFonts w:ascii="Arial" w:hAnsi="Arial" w:cs="Arial"/>
        </w:rPr>
        <w:t xml:space="preserve"> Other mat</w:t>
      </w:r>
      <w:r w:rsidR="008011C4">
        <w:rPr>
          <w:rFonts w:ascii="Arial" w:hAnsi="Arial" w:cs="Arial"/>
        </w:rPr>
        <w:t xml:space="preserve">erials will increase to </w:t>
      </w:r>
      <w:r w:rsidR="004454A3">
        <w:rPr>
          <w:rFonts w:ascii="Arial" w:hAnsi="Arial" w:cs="Arial"/>
        </w:rPr>
        <w:t>14.7 million by the 2019/20</w:t>
      </w:r>
      <w:r w:rsidR="00D42F2C">
        <w:rPr>
          <w:rFonts w:ascii="Arial" w:hAnsi="Arial" w:cs="Arial"/>
        </w:rPr>
        <w:t xml:space="preserve"> financial year</w:t>
      </w:r>
      <w:r w:rsidR="00EB17B4">
        <w:rPr>
          <w:rFonts w:ascii="Arial" w:hAnsi="Arial" w:cs="Arial"/>
        </w:rPr>
        <w:t>.</w:t>
      </w:r>
    </w:p>
    <w:p w:rsidR="00695063" w:rsidRDefault="00695063" w:rsidP="00F15707">
      <w:pPr>
        <w:spacing w:after="0" w:line="240" w:lineRule="auto"/>
        <w:jc w:val="both"/>
        <w:rPr>
          <w:rFonts w:ascii="Arial" w:hAnsi="Arial" w:cs="Arial"/>
        </w:rPr>
      </w:pPr>
    </w:p>
    <w:p w:rsidR="00C87784" w:rsidRPr="00C90AD9" w:rsidRDefault="00C90AD9" w:rsidP="00646A54">
      <w:pPr>
        <w:pStyle w:val="Heading3"/>
        <w:rPr>
          <w:rFonts w:ascii="Arial" w:hAnsi="Arial" w:cs="Arial"/>
          <w:color w:val="auto"/>
        </w:rPr>
      </w:pPr>
      <w:r w:rsidRPr="00956A70">
        <w:rPr>
          <w:rFonts w:ascii="Arial" w:eastAsia="Times New Roman" w:hAnsi="Arial" w:cs="Arial"/>
          <w:color w:val="auto"/>
          <w:lang w:val="en-GB"/>
        </w:rPr>
        <w:t>Free Basic Services: Basic Social Services Package</w:t>
      </w:r>
    </w:p>
    <w:p w:rsidR="00C25BF5" w:rsidRDefault="00C25BF5" w:rsidP="00646A54">
      <w:pPr>
        <w:keepNext/>
        <w:keepLines/>
        <w:spacing w:after="0" w:line="240" w:lineRule="auto"/>
        <w:jc w:val="both"/>
        <w:rPr>
          <w:rFonts w:ascii="Arial" w:hAnsi="Arial" w:cs="Arial"/>
        </w:rPr>
      </w:pPr>
    </w:p>
    <w:p w:rsidR="00C87784" w:rsidRDefault="00C87784" w:rsidP="00C87784">
      <w:pPr>
        <w:spacing w:after="0" w:line="240" w:lineRule="auto"/>
        <w:jc w:val="both"/>
        <w:rPr>
          <w:rFonts w:ascii="Arial" w:hAnsi="Arial" w:cs="Arial"/>
          <w:color w:val="FF0000"/>
        </w:rPr>
      </w:pPr>
      <w:r w:rsidRPr="00C87784">
        <w:rPr>
          <w:rFonts w:ascii="Arial" w:hAnsi="Arial" w:cs="Arial"/>
        </w:rPr>
        <w:t xml:space="preserve">The social package assists households that </w:t>
      </w:r>
      <w:r w:rsidR="00C90AD9">
        <w:rPr>
          <w:rFonts w:ascii="Arial" w:hAnsi="Arial" w:cs="Arial"/>
        </w:rPr>
        <w:t xml:space="preserve">are poor or face other circumstances that limit their ability to </w:t>
      </w:r>
      <w:r w:rsidRPr="00C87784">
        <w:rPr>
          <w:rFonts w:ascii="Arial" w:hAnsi="Arial" w:cs="Arial"/>
        </w:rPr>
        <w:t>pay for services</w:t>
      </w:r>
      <w:r w:rsidR="00C25BF5">
        <w:rPr>
          <w:rFonts w:ascii="Arial" w:hAnsi="Arial" w:cs="Arial"/>
        </w:rPr>
        <w:t xml:space="preserve">.  To receive these free services the households are required to register </w:t>
      </w:r>
      <w:r w:rsidRPr="00C87784">
        <w:rPr>
          <w:rFonts w:ascii="Arial" w:hAnsi="Arial" w:cs="Arial"/>
        </w:rPr>
        <w:t xml:space="preserve">in terms of the </w:t>
      </w:r>
      <w:r w:rsidR="00C52235">
        <w:rPr>
          <w:rFonts w:ascii="Arial" w:hAnsi="Arial" w:cs="Arial"/>
        </w:rPr>
        <w:t>Municipality’s</w:t>
      </w:r>
      <w:r w:rsidR="00C25BF5">
        <w:rPr>
          <w:rFonts w:ascii="Arial" w:hAnsi="Arial" w:cs="Arial"/>
        </w:rPr>
        <w:t xml:space="preserve"> </w:t>
      </w:r>
      <w:r w:rsidRPr="00C87784">
        <w:rPr>
          <w:rFonts w:ascii="Arial" w:hAnsi="Arial" w:cs="Arial"/>
        </w:rPr>
        <w:t xml:space="preserve">Indigent </w:t>
      </w:r>
      <w:r w:rsidR="00C25BF5">
        <w:rPr>
          <w:rFonts w:ascii="Arial" w:hAnsi="Arial" w:cs="Arial"/>
        </w:rPr>
        <w:t>P</w:t>
      </w:r>
      <w:r w:rsidRPr="00C87784">
        <w:rPr>
          <w:rFonts w:ascii="Arial" w:hAnsi="Arial" w:cs="Arial"/>
        </w:rPr>
        <w:t xml:space="preserve">olicy.  </w:t>
      </w:r>
      <w:r w:rsidR="00C52235">
        <w:rPr>
          <w:rFonts w:ascii="Arial" w:hAnsi="Arial" w:cs="Arial"/>
        </w:rPr>
        <w:t>The target is to register 7 000</w:t>
      </w:r>
      <w:r w:rsidRPr="00C87784">
        <w:rPr>
          <w:rFonts w:ascii="Arial" w:hAnsi="Arial" w:cs="Arial"/>
        </w:rPr>
        <w:t xml:space="preserve"> or more indigent households</w:t>
      </w:r>
      <w:r w:rsidR="00C52235">
        <w:rPr>
          <w:rFonts w:ascii="Arial" w:hAnsi="Arial" w:cs="Arial"/>
        </w:rPr>
        <w:t xml:space="preserve"> during the </w:t>
      </w:r>
      <w:r w:rsidR="004454A3">
        <w:rPr>
          <w:rFonts w:ascii="Arial" w:hAnsi="Arial" w:cs="Arial"/>
        </w:rPr>
        <w:t>2019/20</w:t>
      </w:r>
      <w:r>
        <w:rPr>
          <w:rFonts w:ascii="Arial" w:hAnsi="Arial" w:cs="Arial"/>
        </w:rPr>
        <w:t xml:space="preserve"> financial year</w:t>
      </w:r>
      <w:r w:rsidR="00BC54DE">
        <w:rPr>
          <w:rFonts w:ascii="Arial" w:hAnsi="Arial" w:cs="Arial"/>
        </w:rPr>
        <w:t xml:space="preserve">, a process </w:t>
      </w:r>
      <w:r w:rsidR="00C25BF5">
        <w:rPr>
          <w:rFonts w:ascii="Arial" w:hAnsi="Arial" w:cs="Arial"/>
        </w:rPr>
        <w:t>reviewed</w:t>
      </w:r>
      <w:r w:rsidR="00BC54DE">
        <w:rPr>
          <w:rFonts w:ascii="Arial" w:hAnsi="Arial" w:cs="Arial"/>
        </w:rPr>
        <w:t xml:space="preserve"> annually.</w:t>
      </w:r>
      <w:r>
        <w:rPr>
          <w:rFonts w:ascii="Arial" w:hAnsi="Arial" w:cs="Arial"/>
        </w:rPr>
        <w:t xml:space="preserve"> </w:t>
      </w:r>
      <w:r w:rsidR="00470799">
        <w:rPr>
          <w:rFonts w:ascii="Arial" w:hAnsi="Arial" w:cs="Arial"/>
        </w:rPr>
        <w:t xml:space="preserve"> </w:t>
      </w:r>
      <w:r>
        <w:rPr>
          <w:rFonts w:ascii="Arial" w:hAnsi="Arial" w:cs="Arial"/>
        </w:rPr>
        <w:t>Detail relating to free services, cost of free basis services, revenue lost owing to free basic services as well as basic service delivery measurement is contained in Table</w:t>
      </w:r>
      <w:r w:rsidR="00166195">
        <w:rPr>
          <w:rFonts w:ascii="Arial" w:hAnsi="Arial" w:cs="Arial"/>
        </w:rPr>
        <w:t xml:space="preserve"> 27 MBRR</w:t>
      </w:r>
      <w:r>
        <w:rPr>
          <w:rFonts w:ascii="Arial" w:hAnsi="Arial" w:cs="Arial"/>
        </w:rPr>
        <w:t xml:space="preserve"> A10 (Basic Serv</w:t>
      </w:r>
      <w:r w:rsidR="00C52235">
        <w:rPr>
          <w:rFonts w:ascii="Arial" w:hAnsi="Arial" w:cs="Arial"/>
        </w:rPr>
        <w:t>ice Delivery Measurement).</w:t>
      </w:r>
    </w:p>
    <w:p w:rsidR="00C87784" w:rsidRPr="00C87784" w:rsidRDefault="00C87784" w:rsidP="00C87784">
      <w:pPr>
        <w:spacing w:after="0" w:line="240" w:lineRule="auto"/>
        <w:jc w:val="both"/>
        <w:rPr>
          <w:rFonts w:ascii="Arial" w:hAnsi="Arial" w:cs="Arial"/>
        </w:rPr>
      </w:pPr>
    </w:p>
    <w:p w:rsidR="00C87784" w:rsidRDefault="00C87784" w:rsidP="00C87784">
      <w:pPr>
        <w:spacing w:after="0" w:line="240" w:lineRule="auto"/>
        <w:jc w:val="both"/>
        <w:rPr>
          <w:rFonts w:ascii="Arial" w:hAnsi="Arial" w:cs="Arial"/>
        </w:rPr>
      </w:pPr>
      <w:r w:rsidRPr="00C87784">
        <w:rPr>
          <w:rFonts w:ascii="Arial" w:hAnsi="Arial" w:cs="Arial"/>
        </w:rPr>
        <w:t xml:space="preserve">The cost of the social package of the registered indigent </w:t>
      </w:r>
      <w:r w:rsidR="00C25BF5">
        <w:rPr>
          <w:rFonts w:ascii="Arial" w:hAnsi="Arial" w:cs="Arial"/>
        </w:rPr>
        <w:t xml:space="preserve">households is </w:t>
      </w:r>
      <w:r w:rsidR="00470799">
        <w:rPr>
          <w:rFonts w:ascii="Arial" w:hAnsi="Arial" w:cs="Arial"/>
        </w:rPr>
        <w:t xml:space="preserve">largely </w:t>
      </w:r>
      <w:r w:rsidR="00C25BF5">
        <w:rPr>
          <w:rFonts w:ascii="Arial" w:hAnsi="Arial" w:cs="Arial"/>
        </w:rPr>
        <w:t xml:space="preserve">financed by national government through the local government </w:t>
      </w:r>
      <w:r w:rsidRPr="00C87784">
        <w:rPr>
          <w:rFonts w:ascii="Arial" w:hAnsi="Arial" w:cs="Arial"/>
        </w:rPr>
        <w:t xml:space="preserve">equitable share received in terms of the </w:t>
      </w:r>
      <w:r w:rsidR="00C25BF5">
        <w:rPr>
          <w:rFonts w:ascii="Arial" w:hAnsi="Arial" w:cs="Arial"/>
        </w:rPr>
        <w:t xml:space="preserve">annual </w:t>
      </w:r>
      <w:r w:rsidRPr="00C87784">
        <w:rPr>
          <w:rFonts w:ascii="Arial" w:hAnsi="Arial" w:cs="Arial"/>
        </w:rPr>
        <w:t>D</w:t>
      </w:r>
      <w:r w:rsidR="00C25BF5">
        <w:rPr>
          <w:rFonts w:ascii="Arial" w:hAnsi="Arial" w:cs="Arial"/>
        </w:rPr>
        <w:t>ivision of Revenue Act.</w:t>
      </w:r>
    </w:p>
    <w:p w:rsidR="00470799" w:rsidRDefault="00470799" w:rsidP="00C87784">
      <w:pPr>
        <w:spacing w:after="0" w:line="240" w:lineRule="auto"/>
        <w:jc w:val="both"/>
        <w:rPr>
          <w:rFonts w:ascii="Arial" w:hAnsi="Arial" w:cs="Arial"/>
        </w:rPr>
      </w:pPr>
    </w:p>
    <w:p w:rsidR="0033043D" w:rsidRDefault="0033043D" w:rsidP="00C87784">
      <w:pPr>
        <w:spacing w:after="0" w:line="240" w:lineRule="auto"/>
        <w:jc w:val="both"/>
        <w:rPr>
          <w:rFonts w:ascii="Arial" w:hAnsi="Arial" w:cs="Arial"/>
        </w:rPr>
      </w:pPr>
    </w:p>
    <w:p w:rsidR="00C25BF5" w:rsidRDefault="00D83EF0" w:rsidP="00C25BF5">
      <w:pPr>
        <w:pStyle w:val="Heading2"/>
        <w:rPr>
          <w:rFonts w:ascii="Arial" w:hAnsi="Arial" w:cs="Arial"/>
          <w:color w:val="auto"/>
        </w:rPr>
      </w:pPr>
      <w:bookmarkStart w:id="56" w:name="_Toc286117316"/>
      <w:bookmarkStart w:id="57" w:name="_Toc287342527"/>
      <w:r>
        <w:rPr>
          <w:rFonts w:ascii="Arial" w:hAnsi="Arial" w:cs="Arial"/>
          <w:color w:val="auto"/>
        </w:rPr>
        <w:t>Capital expenditure</w:t>
      </w:r>
      <w:bookmarkEnd w:id="56"/>
      <w:bookmarkEnd w:id="57"/>
    </w:p>
    <w:p w:rsidR="00C25BF5" w:rsidRDefault="00C25BF5" w:rsidP="00F15707">
      <w:pPr>
        <w:spacing w:after="0" w:line="240" w:lineRule="auto"/>
        <w:jc w:val="both"/>
        <w:rPr>
          <w:rFonts w:ascii="Arial" w:hAnsi="Arial" w:cs="Arial"/>
        </w:rPr>
      </w:pPr>
    </w:p>
    <w:p w:rsidR="002F77CC" w:rsidRDefault="00C25BF5" w:rsidP="00F15707">
      <w:pPr>
        <w:spacing w:after="0" w:line="240" w:lineRule="auto"/>
        <w:jc w:val="both"/>
        <w:rPr>
          <w:rFonts w:ascii="Arial" w:hAnsi="Arial" w:cs="Arial"/>
        </w:rPr>
      </w:pPr>
      <w:r>
        <w:rPr>
          <w:rFonts w:ascii="Arial" w:hAnsi="Arial" w:cs="Arial"/>
        </w:rPr>
        <w:t>T</w:t>
      </w:r>
      <w:r w:rsidR="00D63F30">
        <w:rPr>
          <w:rFonts w:ascii="Arial" w:hAnsi="Arial" w:cs="Arial"/>
        </w:rPr>
        <w:t>he following table provides a</w:t>
      </w:r>
      <w:r>
        <w:rPr>
          <w:rFonts w:ascii="Arial" w:hAnsi="Arial" w:cs="Arial"/>
        </w:rPr>
        <w:t xml:space="preserve"> breakdown of budgeted capital expenditure by </w:t>
      </w:r>
      <w:r w:rsidR="00470799">
        <w:rPr>
          <w:rFonts w:ascii="Arial" w:hAnsi="Arial" w:cs="Arial"/>
        </w:rPr>
        <w:t>v</w:t>
      </w:r>
      <w:r w:rsidR="002F77CC">
        <w:rPr>
          <w:rFonts w:ascii="Arial" w:hAnsi="Arial" w:cs="Arial"/>
        </w:rPr>
        <w:t>ote:</w:t>
      </w:r>
    </w:p>
    <w:p w:rsidR="00C25BF5" w:rsidRDefault="00C25BF5" w:rsidP="00F15707">
      <w:pPr>
        <w:spacing w:after="0" w:line="240" w:lineRule="auto"/>
        <w:jc w:val="both"/>
        <w:rPr>
          <w:rFonts w:ascii="Arial" w:hAnsi="Arial" w:cs="Arial"/>
        </w:rPr>
      </w:pPr>
    </w:p>
    <w:p w:rsidR="00C25BF5" w:rsidRPr="00C25BF5" w:rsidRDefault="00C25BF5" w:rsidP="00154E79">
      <w:pPr>
        <w:pStyle w:val="Caption"/>
        <w:keepNext/>
      </w:pPr>
      <w:bookmarkStart w:id="58" w:name="_Toc287342457"/>
      <w:r>
        <w:t xml:space="preserve">Table </w:t>
      </w:r>
      <w:r w:rsidR="00951EB5">
        <w:fldChar w:fldCharType="begin"/>
      </w:r>
      <w:r w:rsidR="009F6B4A">
        <w:instrText xml:space="preserve"> SEQ Table \* ARABIC </w:instrText>
      </w:r>
      <w:r w:rsidR="00951EB5">
        <w:fldChar w:fldCharType="separate"/>
      </w:r>
      <w:r w:rsidR="00FB5E13">
        <w:rPr>
          <w:noProof/>
        </w:rPr>
        <w:t>9</w:t>
      </w:r>
      <w:r w:rsidR="00951EB5">
        <w:rPr>
          <w:noProof/>
        </w:rPr>
        <w:fldChar w:fldCharType="end"/>
      </w:r>
      <w:r>
        <w:t xml:space="preserve"> </w:t>
      </w:r>
      <w:r w:rsidR="00C52235">
        <w:t xml:space="preserve"> </w:t>
      </w:r>
      <w:r w:rsidR="004454A3">
        <w:t>2019/20</w:t>
      </w:r>
      <w:r w:rsidRPr="00C25BF5">
        <w:t xml:space="preserve"> Medium-term capital budget per vote</w:t>
      </w:r>
      <w:bookmarkEnd w:id="58"/>
    </w:p>
    <w:p w:rsidR="002F77CC" w:rsidRDefault="00F84D63" w:rsidP="00F15707">
      <w:pPr>
        <w:spacing w:after="0" w:line="240" w:lineRule="auto"/>
        <w:jc w:val="both"/>
        <w:rPr>
          <w:rFonts w:ascii="Arial" w:hAnsi="Arial" w:cs="Arial"/>
        </w:rPr>
      </w:pPr>
      <w:r w:rsidRPr="00F84D63">
        <w:rPr>
          <w:noProof/>
          <w:lang w:val="en-ZA" w:eastAsia="en-ZA"/>
        </w:rPr>
        <w:drawing>
          <wp:inline distT="0" distB="0" distL="0" distR="0">
            <wp:extent cx="5238750" cy="3371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3371850"/>
                    </a:xfrm>
                    <a:prstGeom prst="rect">
                      <a:avLst/>
                    </a:prstGeom>
                    <a:noFill/>
                    <a:ln>
                      <a:noFill/>
                    </a:ln>
                  </pic:spPr>
                </pic:pic>
              </a:graphicData>
            </a:graphic>
          </wp:inline>
        </w:drawing>
      </w:r>
    </w:p>
    <w:p w:rsidR="00C25BF5" w:rsidRDefault="00C25BF5" w:rsidP="00F15707">
      <w:pPr>
        <w:spacing w:after="0" w:line="240" w:lineRule="auto"/>
        <w:jc w:val="both"/>
        <w:rPr>
          <w:rFonts w:ascii="Arial" w:hAnsi="Arial" w:cs="Arial"/>
        </w:rPr>
      </w:pPr>
    </w:p>
    <w:p w:rsidR="002F77CC" w:rsidRDefault="007F2430" w:rsidP="00C90AD9">
      <w:pPr>
        <w:spacing w:after="0" w:line="240" w:lineRule="auto"/>
        <w:jc w:val="both"/>
        <w:rPr>
          <w:rFonts w:ascii="Arial" w:hAnsi="Arial" w:cs="Arial"/>
        </w:rPr>
      </w:pPr>
      <w:r>
        <w:rPr>
          <w:rFonts w:ascii="Arial" w:hAnsi="Arial" w:cs="Arial"/>
        </w:rPr>
        <w:t xml:space="preserve">For </w:t>
      </w:r>
      <w:r w:rsidR="004454A3">
        <w:rPr>
          <w:rFonts w:ascii="Arial" w:hAnsi="Arial" w:cs="Arial"/>
        </w:rPr>
        <w:t>2019/20 an amount of R45</w:t>
      </w:r>
      <w:r>
        <w:rPr>
          <w:rFonts w:ascii="Arial" w:hAnsi="Arial" w:cs="Arial"/>
        </w:rPr>
        <w:t xml:space="preserve"> million</w:t>
      </w:r>
      <w:r w:rsidR="002F77CC" w:rsidRPr="00C90AD9">
        <w:rPr>
          <w:rFonts w:ascii="Arial" w:hAnsi="Arial" w:cs="Arial"/>
        </w:rPr>
        <w:t xml:space="preserve"> has been appropriated for th</w:t>
      </w:r>
      <w:r>
        <w:rPr>
          <w:rFonts w:ascii="Arial" w:hAnsi="Arial" w:cs="Arial"/>
        </w:rPr>
        <w:t>e development of infrastruct</w:t>
      </w:r>
      <w:r w:rsidR="00D42F2C">
        <w:rPr>
          <w:rFonts w:ascii="Arial" w:hAnsi="Arial" w:cs="Arial"/>
        </w:rPr>
        <w:t>ure, however d</w:t>
      </w:r>
      <w:r>
        <w:rPr>
          <w:rFonts w:ascii="Arial" w:hAnsi="Arial" w:cs="Arial"/>
        </w:rPr>
        <w:t>ue to lack of project information from the relevant departments within th</w:t>
      </w:r>
      <w:r w:rsidR="00D42F2C">
        <w:rPr>
          <w:rFonts w:ascii="Arial" w:hAnsi="Arial" w:cs="Arial"/>
        </w:rPr>
        <w:t>e muni</w:t>
      </w:r>
      <w:r w:rsidR="00881DAB">
        <w:rPr>
          <w:rFonts w:ascii="Arial" w:hAnsi="Arial" w:cs="Arial"/>
        </w:rPr>
        <w:t xml:space="preserve">cipality, capital projects could not be detailed. </w:t>
      </w:r>
      <w:r>
        <w:rPr>
          <w:rFonts w:ascii="Arial" w:hAnsi="Arial" w:cs="Arial"/>
        </w:rPr>
        <w:t>The programs shall be detailed adequately in the final annual budget.</w:t>
      </w:r>
    </w:p>
    <w:p w:rsidR="00881DAB" w:rsidRDefault="00881DAB" w:rsidP="008C1730">
      <w:pPr>
        <w:spacing w:after="0" w:line="240" w:lineRule="auto"/>
        <w:jc w:val="both"/>
        <w:rPr>
          <w:rFonts w:ascii="Arial" w:hAnsi="Arial" w:cs="Arial"/>
        </w:rPr>
      </w:pPr>
    </w:p>
    <w:p w:rsidR="00881DAB" w:rsidRDefault="00881DAB" w:rsidP="008C1730">
      <w:pPr>
        <w:spacing w:after="0" w:line="240" w:lineRule="auto"/>
        <w:jc w:val="both"/>
        <w:rPr>
          <w:rFonts w:ascii="Arial" w:hAnsi="Arial" w:cs="Arial"/>
        </w:rPr>
      </w:pPr>
    </w:p>
    <w:p w:rsidR="002910E1" w:rsidRPr="00C87784" w:rsidRDefault="002910E1" w:rsidP="008C1730">
      <w:pPr>
        <w:spacing w:after="0" w:line="240" w:lineRule="auto"/>
        <w:jc w:val="both"/>
        <w:rPr>
          <w:rFonts w:ascii="Arial" w:hAnsi="Arial" w:cs="Arial"/>
        </w:rPr>
      </w:pPr>
      <w:r>
        <w:rPr>
          <w:rFonts w:ascii="Arial" w:hAnsi="Arial" w:cs="Arial"/>
        </w:rPr>
        <w:t>The following graph provides a breakdown of the capital budget to be spent on infrastructure related projects over the MTREF.</w:t>
      </w:r>
    </w:p>
    <w:p w:rsidR="008C1730" w:rsidRDefault="008C1730" w:rsidP="00C90AD9">
      <w:pPr>
        <w:spacing w:after="0" w:line="240" w:lineRule="auto"/>
        <w:jc w:val="both"/>
        <w:rPr>
          <w:rFonts w:ascii="Arial" w:hAnsi="Arial" w:cs="Arial"/>
        </w:rPr>
      </w:pPr>
    </w:p>
    <w:p w:rsidR="00881DAB" w:rsidRPr="0065674C" w:rsidRDefault="00C97B76" w:rsidP="0033043D">
      <w:pPr>
        <w:spacing w:after="0" w:line="240" w:lineRule="auto"/>
        <w:jc w:val="both"/>
        <w:rPr>
          <w:rFonts w:ascii="Arial" w:hAnsi="Arial" w:cs="Arial"/>
          <w:u w:val="single"/>
        </w:rPr>
      </w:pPr>
      <w:bookmarkStart w:id="59" w:name="_Toc287342511"/>
      <w:r>
        <w:rPr>
          <w:rFonts w:ascii="Arial" w:hAnsi="Arial" w:cs="Arial"/>
          <w:noProof/>
          <w:u w:val="single"/>
          <w:lang w:val="en-ZA" w:eastAsia="en-ZA"/>
        </w:rPr>
        <w:drawing>
          <wp:inline distT="0" distB="0" distL="0" distR="0" wp14:anchorId="53B53000">
            <wp:extent cx="5629275" cy="2733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9275" cy="2733675"/>
                    </a:xfrm>
                    <a:prstGeom prst="rect">
                      <a:avLst/>
                    </a:prstGeom>
                    <a:noFill/>
                  </pic:spPr>
                </pic:pic>
              </a:graphicData>
            </a:graphic>
          </wp:inline>
        </w:drawing>
      </w:r>
    </w:p>
    <w:bookmarkEnd w:id="59"/>
    <w:p w:rsidR="0065674C" w:rsidRPr="001268DE" w:rsidRDefault="0065674C" w:rsidP="001268DE">
      <w:pPr>
        <w:spacing w:after="0"/>
      </w:pPr>
    </w:p>
    <w:p w:rsidR="00C90AD9" w:rsidRDefault="00C90AD9" w:rsidP="00C90AD9">
      <w:pPr>
        <w:pStyle w:val="Heading3"/>
        <w:rPr>
          <w:rFonts w:ascii="Arial" w:hAnsi="Arial" w:cs="Arial"/>
          <w:color w:val="auto"/>
        </w:rPr>
      </w:pPr>
      <w:r w:rsidRPr="00C90AD9">
        <w:rPr>
          <w:rFonts w:ascii="Arial" w:hAnsi="Arial" w:cs="Arial"/>
          <w:color w:val="auto"/>
        </w:rPr>
        <w:t>Future operational cost of new infrastructure</w:t>
      </w:r>
    </w:p>
    <w:p w:rsidR="00C25BF5" w:rsidRDefault="00C25BF5" w:rsidP="00F15707">
      <w:pPr>
        <w:spacing w:after="0" w:line="240" w:lineRule="auto"/>
        <w:jc w:val="both"/>
        <w:rPr>
          <w:rFonts w:ascii="Arial" w:hAnsi="Arial" w:cs="Arial"/>
        </w:rPr>
      </w:pPr>
    </w:p>
    <w:p w:rsidR="00C87784" w:rsidRDefault="00E82819" w:rsidP="00F15707">
      <w:pPr>
        <w:spacing w:after="0" w:line="240" w:lineRule="auto"/>
        <w:jc w:val="both"/>
        <w:rPr>
          <w:rFonts w:ascii="Arial" w:hAnsi="Arial" w:cs="Arial"/>
        </w:rPr>
      </w:pPr>
      <w:r>
        <w:rPr>
          <w:rFonts w:ascii="Arial" w:hAnsi="Arial" w:cs="Arial"/>
        </w:rPr>
        <w:t xml:space="preserve">The future operational costs </w:t>
      </w:r>
      <w:r w:rsidR="00C25BF5">
        <w:rPr>
          <w:rFonts w:ascii="Arial" w:hAnsi="Arial" w:cs="Arial"/>
        </w:rPr>
        <w:t xml:space="preserve">and revenues </w:t>
      </w:r>
      <w:r>
        <w:rPr>
          <w:rFonts w:ascii="Arial" w:hAnsi="Arial" w:cs="Arial"/>
        </w:rPr>
        <w:t>associat</w:t>
      </w:r>
      <w:r w:rsidR="00B24F4C">
        <w:rPr>
          <w:rFonts w:ascii="Arial" w:hAnsi="Arial" w:cs="Arial"/>
        </w:rPr>
        <w:t xml:space="preserve">ed with the capital </w:t>
      </w:r>
      <w:proofErr w:type="spellStart"/>
      <w:r w:rsidR="00B24F4C">
        <w:rPr>
          <w:rFonts w:ascii="Arial" w:hAnsi="Arial" w:cs="Arial"/>
        </w:rPr>
        <w:t>programmes</w:t>
      </w:r>
      <w:proofErr w:type="spellEnd"/>
      <w:r w:rsidR="00B24F4C">
        <w:rPr>
          <w:rFonts w:ascii="Arial" w:hAnsi="Arial" w:cs="Arial"/>
        </w:rPr>
        <w:t xml:space="preserve"> cannot be stated at the moments due to lack of the information thereof.</w:t>
      </w:r>
    </w:p>
    <w:p w:rsidR="00F15707" w:rsidRPr="004F0644" w:rsidRDefault="00F15707" w:rsidP="00F15707">
      <w:pPr>
        <w:spacing w:after="0" w:line="240" w:lineRule="auto"/>
        <w:jc w:val="both"/>
        <w:rPr>
          <w:rFonts w:ascii="Arial" w:hAnsi="Arial" w:cs="Arial"/>
        </w:rPr>
      </w:pPr>
    </w:p>
    <w:p w:rsidR="00CD4D7B" w:rsidRDefault="00CD4D7B" w:rsidP="001268DE">
      <w:pPr>
        <w:pStyle w:val="Heading2"/>
        <w:rPr>
          <w:rFonts w:ascii="Arial" w:hAnsi="Arial" w:cs="Arial"/>
          <w:color w:val="auto"/>
        </w:rPr>
      </w:pPr>
      <w:bookmarkStart w:id="60" w:name="_Toc286034100"/>
      <w:bookmarkStart w:id="61" w:name="_Toc286034691"/>
      <w:bookmarkStart w:id="62" w:name="_Toc286041437"/>
      <w:bookmarkStart w:id="63" w:name="_Toc286041506"/>
      <w:bookmarkStart w:id="64" w:name="_Toc286117317"/>
      <w:bookmarkStart w:id="65" w:name="_Toc287342528"/>
      <w:r w:rsidRPr="00946012">
        <w:rPr>
          <w:rFonts w:ascii="Arial" w:hAnsi="Arial" w:cs="Arial"/>
          <w:color w:val="auto"/>
        </w:rPr>
        <w:t>Annual Budget Tables - Parent Municipality</w:t>
      </w:r>
      <w:bookmarkEnd w:id="60"/>
      <w:bookmarkEnd w:id="61"/>
      <w:bookmarkEnd w:id="62"/>
      <w:bookmarkEnd w:id="63"/>
      <w:bookmarkEnd w:id="64"/>
      <w:bookmarkEnd w:id="65"/>
    </w:p>
    <w:p w:rsidR="0084642C" w:rsidRPr="0084642C" w:rsidRDefault="0084642C" w:rsidP="001268DE">
      <w:pPr>
        <w:keepNext/>
        <w:keepLines/>
        <w:spacing w:after="0" w:line="240" w:lineRule="auto"/>
        <w:jc w:val="both"/>
        <w:rPr>
          <w:rFonts w:ascii="Arial" w:hAnsi="Arial" w:cs="Arial"/>
        </w:rPr>
      </w:pPr>
    </w:p>
    <w:p w:rsidR="00946012" w:rsidRPr="007103F0" w:rsidRDefault="00B24F4C" w:rsidP="007103F0">
      <w:pPr>
        <w:spacing w:after="0" w:line="240" w:lineRule="auto"/>
        <w:jc w:val="both"/>
        <w:rPr>
          <w:rFonts w:ascii="Arial" w:hAnsi="Arial" w:cs="Arial"/>
        </w:rPr>
      </w:pPr>
      <w:r>
        <w:rPr>
          <w:rFonts w:ascii="Arial" w:hAnsi="Arial" w:cs="Arial"/>
        </w:rPr>
        <w:t>The following</w:t>
      </w:r>
      <w:r w:rsidR="007103F0">
        <w:rPr>
          <w:rFonts w:ascii="Arial" w:hAnsi="Arial" w:cs="Arial"/>
        </w:rPr>
        <w:t xml:space="preserve"> pages </w:t>
      </w:r>
      <w:r w:rsidR="00D83EF0">
        <w:rPr>
          <w:rFonts w:ascii="Arial" w:hAnsi="Arial" w:cs="Arial"/>
        </w:rPr>
        <w:t xml:space="preserve">present the ten </w:t>
      </w:r>
      <w:r w:rsidR="007103F0">
        <w:rPr>
          <w:rFonts w:ascii="Arial" w:hAnsi="Arial" w:cs="Arial"/>
        </w:rPr>
        <w:t>main budget tables</w:t>
      </w:r>
      <w:r>
        <w:rPr>
          <w:rFonts w:ascii="Arial" w:hAnsi="Arial" w:cs="Arial"/>
        </w:rPr>
        <w:t xml:space="preserve"> as required in terms of regulations</w:t>
      </w:r>
      <w:r w:rsidR="007103F0">
        <w:rPr>
          <w:rFonts w:ascii="Arial" w:hAnsi="Arial" w:cs="Arial"/>
        </w:rPr>
        <w:t xml:space="preserve"> 8 of the Municipal Budget and Reporting Regulations. These tables set out the munic</w:t>
      </w:r>
      <w:r>
        <w:rPr>
          <w:rFonts w:ascii="Arial" w:hAnsi="Arial" w:cs="Arial"/>
        </w:rPr>
        <w:t xml:space="preserve">ipality’s </w:t>
      </w:r>
      <w:r w:rsidR="004454A3">
        <w:rPr>
          <w:rFonts w:ascii="Arial" w:hAnsi="Arial" w:cs="Arial"/>
        </w:rPr>
        <w:t>2019/20</w:t>
      </w:r>
      <w:r w:rsidR="007103F0">
        <w:rPr>
          <w:rFonts w:ascii="Arial" w:hAnsi="Arial" w:cs="Arial"/>
        </w:rPr>
        <w:t xml:space="preserve"> budget and MTREF as approved by the Council.</w:t>
      </w:r>
      <w:r w:rsidR="00470799">
        <w:rPr>
          <w:rFonts w:ascii="Arial" w:hAnsi="Arial" w:cs="Arial"/>
        </w:rPr>
        <w:t xml:space="preserve"> Each table is accompanied by </w:t>
      </w:r>
      <w:r w:rsidR="00470799" w:rsidRPr="00470799">
        <w:rPr>
          <w:rFonts w:ascii="Arial" w:hAnsi="Arial" w:cs="Arial"/>
          <w:i/>
        </w:rPr>
        <w:t>explanatory notes</w:t>
      </w:r>
      <w:r w:rsidR="00470799">
        <w:rPr>
          <w:rFonts w:ascii="Arial" w:hAnsi="Arial" w:cs="Arial"/>
        </w:rPr>
        <w:t xml:space="preserve"> on the facing page.</w:t>
      </w:r>
    </w:p>
    <w:p w:rsidR="00C13A59" w:rsidRDefault="00C13A59" w:rsidP="007103F0">
      <w:pPr>
        <w:pStyle w:val="Caption"/>
      </w:pPr>
      <w:bookmarkStart w:id="66" w:name="_Toc287342458"/>
    </w:p>
    <w:p w:rsidR="00C13A59" w:rsidRDefault="00C13A59" w:rsidP="007103F0">
      <w:pPr>
        <w:pStyle w:val="Caption"/>
      </w:pPr>
    </w:p>
    <w:p w:rsidR="00E56FBA" w:rsidRDefault="00E56FBA" w:rsidP="00E56FBA"/>
    <w:p w:rsidR="00E56FBA" w:rsidRDefault="00E56FBA" w:rsidP="00E56FBA"/>
    <w:p w:rsidR="00E56FBA" w:rsidRDefault="00E56FBA" w:rsidP="00E56FBA"/>
    <w:p w:rsidR="00E56FBA" w:rsidRDefault="00E56FBA" w:rsidP="00E56FBA"/>
    <w:p w:rsidR="00E56FBA" w:rsidRDefault="00E56FBA" w:rsidP="00E56FBA"/>
    <w:p w:rsidR="00E56FBA" w:rsidRDefault="00E56FBA" w:rsidP="00E56FBA"/>
    <w:p w:rsidR="00E56FBA" w:rsidRDefault="00E56FBA" w:rsidP="00E56FBA"/>
    <w:p w:rsidR="00E56FBA" w:rsidRDefault="00E56FBA" w:rsidP="00E56FBA"/>
    <w:p w:rsidR="00C97B76" w:rsidRDefault="00C97B76" w:rsidP="00E56FBA"/>
    <w:p w:rsidR="00C97B76" w:rsidRDefault="00C97B76" w:rsidP="00E56FBA"/>
    <w:p w:rsidR="00C97B76" w:rsidRDefault="00C97B76" w:rsidP="00E56FBA"/>
    <w:p w:rsidR="00C97B76" w:rsidRDefault="00C97B76" w:rsidP="00E56FBA"/>
    <w:p w:rsidR="00C97B76" w:rsidRDefault="00C97B76" w:rsidP="00E56FBA"/>
    <w:p w:rsidR="00C97B76" w:rsidRDefault="00C97B76" w:rsidP="00E56FBA"/>
    <w:p w:rsidR="00C97B76" w:rsidRDefault="00C97B76" w:rsidP="00E56FBA"/>
    <w:p w:rsidR="00C97B76" w:rsidRDefault="00C97B76" w:rsidP="00E56FBA"/>
    <w:p w:rsidR="00C97B76" w:rsidRDefault="00C97B76" w:rsidP="00E56FBA"/>
    <w:p w:rsidR="00A10411" w:rsidRDefault="00A10411" w:rsidP="007103F0">
      <w:pPr>
        <w:pStyle w:val="Caption"/>
        <w:rPr>
          <w:rFonts w:asciiTheme="minorHAnsi" w:hAnsiTheme="minorHAnsi"/>
          <w:b w:val="0"/>
          <w:bCs w:val="0"/>
          <w:szCs w:val="22"/>
        </w:rPr>
      </w:pPr>
    </w:p>
    <w:p w:rsidR="000915D6" w:rsidRPr="00A10411" w:rsidRDefault="007103F0" w:rsidP="007103F0">
      <w:pPr>
        <w:pStyle w:val="Caption"/>
        <w:rPr>
          <w:sz w:val="18"/>
        </w:rPr>
      </w:pPr>
      <w:r w:rsidRPr="00A10411">
        <w:rPr>
          <w:sz w:val="18"/>
        </w:rPr>
        <w:t xml:space="preserve">Table </w:t>
      </w:r>
      <w:r w:rsidR="00951EB5" w:rsidRPr="00A10411">
        <w:rPr>
          <w:sz w:val="18"/>
        </w:rPr>
        <w:fldChar w:fldCharType="begin"/>
      </w:r>
      <w:r w:rsidR="009F6B4A" w:rsidRPr="00A10411">
        <w:rPr>
          <w:sz w:val="18"/>
        </w:rPr>
        <w:instrText xml:space="preserve"> SEQ Table \* ARABIC </w:instrText>
      </w:r>
      <w:r w:rsidR="00951EB5" w:rsidRPr="00A10411">
        <w:rPr>
          <w:sz w:val="18"/>
        </w:rPr>
        <w:fldChar w:fldCharType="separate"/>
      </w:r>
      <w:r w:rsidR="00FB5E13" w:rsidRPr="00A10411">
        <w:rPr>
          <w:noProof/>
          <w:sz w:val="18"/>
        </w:rPr>
        <w:t>10</w:t>
      </w:r>
      <w:r w:rsidR="00951EB5" w:rsidRPr="00A10411">
        <w:rPr>
          <w:noProof/>
          <w:sz w:val="18"/>
        </w:rPr>
        <w:fldChar w:fldCharType="end"/>
      </w:r>
      <w:r w:rsidRPr="00A10411">
        <w:rPr>
          <w:sz w:val="18"/>
        </w:rPr>
        <w:t xml:space="preserve">  MBRR </w:t>
      </w:r>
      <w:r w:rsidR="000915D6" w:rsidRPr="00A10411">
        <w:rPr>
          <w:sz w:val="18"/>
        </w:rPr>
        <w:t>Table A1</w:t>
      </w:r>
      <w:r w:rsidR="0019235A" w:rsidRPr="00A10411">
        <w:rPr>
          <w:sz w:val="18"/>
        </w:rPr>
        <w:t xml:space="preserve"> - </w:t>
      </w:r>
      <w:r w:rsidR="000915D6" w:rsidRPr="00A10411">
        <w:rPr>
          <w:sz w:val="18"/>
        </w:rPr>
        <w:t>Budget Summary</w:t>
      </w:r>
      <w:bookmarkEnd w:id="66"/>
    </w:p>
    <w:p w:rsidR="00E56FBA" w:rsidRPr="00E56FBA" w:rsidRDefault="00A10411" w:rsidP="00E56FBA">
      <w:r w:rsidRPr="00A10411">
        <w:rPr>
          <w:noProof/>
          <w:lang w:val="en-ZA" w:eastAsia="en-ZA"/>
        </w:rPr>
        <w:drawing>
          <wp:inline distT="0" distB="0" distL="0" distR="0">
            <wp:extent cx="5756744" cy="7171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4184" cy="7205413"/>
                    </a:xfrm>
                    <a:prstGeom prst="rect">
                      <a:avLst/>
                    </a:prstGeom>
                    <a:noFill/>
                    <a:ln>
                      <a:noFill/>
                    </a:ln>
                  </pic:spPr>
                </pic:pic>
              </a:graphicData>
            </a:graphic>
          </wp:inline>
        </w:drawing>
      </w:r>
    </w:p>
    <w:p w:rsidR="00E56FBA" w:rsidRDefault="00E56FBA" w:rsidP="00881DAB">
      <w:pPr>
        <w:spacing w:after="0" w:line="240" w:lineRule="auto"/>
        <w:rPr>
          <w:rFonts w:ascii="Arial" w:hAnsi="Arial" w:cs="Arial"/>
          <w:b/>
        </w:rPr>
      </w:pPr>
    </w:p>
    <w:p w:rsidR="00E56FBA" w:rsidRDefault="00E56FBA" w:rsidP="00881DAB">
      <w:pPr>
        <w:spacing w:after="0" w:line="240" w:lineRule="auto"/>
        <w:rPr>
          <w:rFonts w:ascii="Arial" w:hAnsi="Arial" w:cs="Arial"/>
          <w:b/>
        </w:rPr>
      </w:pPr>
    </w:p>
    <w:p w:rsidR="00E56FBA" w:rsidRDefault="00E56FBA" w:rsidP="00881DAB">
      <w:pPr>
        <w:spacing w:after="0" w:line="240" w:lineRule="auto"/>
        <w:rPr>
          <w:rFonts w:ascii="Arial" w:hAnsi="Arial" w:cs="Arial"/>
          <w:b/>
        </w:rPr>
      </w:pPr>
    </w:p>
    <w:p w:rsidR="00E56FBA" w:rsidRDefault="00E56FBA" w:rsidP="00881DAB">
      <w:pPr>
        <w:spacing w:after="0" w:line="240" w:lineRule="auto"/>
        <w:rPr>
          <w:rFonts w:ascii="Arial" w:hAnsi="Arial" w:cs="Arial"/>
          <w:b/>
        </w:rPr>
      </w:pPr>
    </w:p>
    <w:p w:rsidR="00470799" w:rsidRDefault="00470799" w:rsidP="00881DAB">
      <w:pPr>
        <w:spacing w:after="0" w:line="240" w:lineRule="auto"/>
        <w:rPr>
          <w:rFonts w:ascii="Arial" w:hAnsi="Arial" w:cs="Arial"/>
          <w:b/>
        </w:rPr>
      </w:pPr>
      <w:r w:rsidRPr="00470799">
        <w:rPr>
          <w:rFonts w:ascii="Arial" w:hAnsi="Arial" w:cs="Arial"/>
          <w:b/>
        </w:rPr>
        <w:t xml:space="preserve">Explanatory notes to MBRR Table A1 - Budget Summary </w:t>
      </w:r>
    </w:p>
    <w:p w:rsidR="00C13A59" w:rsidRPr="00881DAB" w:rsidRDefault="00C13A59" w:rsidP="00881DAB">
      <w:pPr>
        <w:spacing w:after="0" w:line="240" w:lineRule="auto"/>
        <w:rPr>
          <w:rFonts w:ascii="Arial" w:hAnsi="Arial" w:cs="Arial"/>
          <w:color w:val="E36C0A" w:themeColor="accent6" w:themeShade="BF"/>
          <w:sz w:val="24"/>
          <w:szCs w:val="24"/>
        </w:rPr>
      </w:pPr>
    </w:p>
    <w:p w:rsidR="00470799" w:rsidRDefault="00470799" w:rsidP="00FA7FA9">
      <w:pPr>
        <w:spacing w:after="0" w:line="240" w:lineRule="auto"/>
        <w:jc w:val="both"/>
        <w:rPr>
          <w:rFonts w:ascii="Arial" w:hAnsi="Arial" w:cs="Arial"/>
        </w:rPr>
      </w:pPr>
    </w:p>
    <w:p w:rsidR="00855417" w:rsidRPr="00855417" w:rsidRDefault="00FA7FA9" w:rsidP="00855417">
      <w:pPr>
        <w:pStyle w:val="ListParagraph"/>
        <w:numPr>
          <w:ilvl w:val="0"/>
          <w:numId w:val="16"/>
        </w:numPr>
        <w:spacing w:after="0" w:line="240" w:lineRule="auto"/>
        <w:jc w:val="both"/>
        <w:rPr>
          <w:rFonts w:ascii="Arial" w:hAnsi="Arial" w:cs="Arial"/>
        </w:rPr>
      </w:pPr>
      <w:r w:rsidRPr="00855417">
        <w:rPr>
          <w:rFonts w:ascii="Arial" w:hAnsi="Arial" w:cs="Arial"/>
        </w:rPr>
        <w:t xml:space="preserve">Table A1 is a budget summary and provides a concise overview of the </w:t>
      </w:r>
      <w:r w:rsidR="00DE0F75">
        <w:rPr>
          <w:rFonts w:ascii="Arial" w:hAnsi="Arial" w:cs="Arial"/>
        </w:rPr>
        <w:t>Municipality’s</w:t>
      </w:r>
      <w:r w:rsidRPr="00855417">
        <w:rPr>
          <w:rFonts w:ascii="Arial" w:hAnsi="Arial" w:cs="Arial"/>
        </w:rPr>
        <w:t xml:space="preserve"> budget from all of the major financial perspectives (operating, capital expenditure, financial position, cash flow, and MFMA funding compliance). </w:t>
      </w:r>
    </w:p>
    <w:p w:rsidR="00FA7FA9" w:rsidRPr="00855417" w:rsidRDefault="00FA7FA9" w:rsidP="00855417">
      <w:pPr>
        <w:pStyle w:val="ListParagraph"/>
        <w:numPr>
          <w:ilvl w:val="0"/>
          <w:numId w:val="16"/>
        </w:numPr>
        <w:spacing w:after="0" w:line="240" w:lineRule="auto"/>
        <w:jc w:val="both"/>
        <w:rPr>
          <w:rFonts w:ascii="Arial" w:hAnsi="Arial" w:cs="Arial"/>
        </w:rPr>
      </w:pPr>
      <w:r w:rsidRPr="00855417">
        <w:rPr>
          <w:rFonts w:ascii="Arial" w:hAnsi="Arial" w:cs="Arial"/>
        </w:rPr>
        <w:t xml:space="preserve">The table </w:t>
      </w:r>
      <w:r w:rsidR="00855417" w:rsidRPr="00855417">
        <w:rPr>
          <w:rFonts w:ascii="Arial" w:hAnsi="Arial" w:cs="Arial"/>
        </w:rPr>
        <w:t xml:space="preserve">provides an overview of the amounts approved by Council for </w:t>
      </w:r>
      <w:r w:rsidRPr="00855417">
        <w:rPr>
          <w:rFonts w:ascii="Arial" w:hAnsi="Arial" w:cs="Arial"/>
        </w:rPr>
        <w:t>operating performance, resources deployed to capital expenditure, financial position, cash and funding compliance, as well as the municipality’s commitment to eliminating basic service delivery backlogs.</w:t>
      </w:r>
    </w:p>
    <w:p w:rsidR="00543267" w:rsidRDefault="00FA7FA9" w:rsidP="00855417">
      <w:pPr>
        <w:pStyle w:val="ListParagraph"/>
        <w:numPr>
          <w:ilvl w:val="0"/>
          <w:numId w:val="16"/>
        </w:numPr>
        <w:spacing w:after="0" w:line="240" w:lineRule="auto"/>
        <w:jc w:val="both"/>
        <w:rPr>
          <w:rFonts w:ascii="Arial" w:hAnsi="Arial" w:cs="Arial"/>
        </w:rPr>
      </w:pPr>
      <w:r w:rsidRPr="00855417">
        <w:rPr>
          <w:rFonts w:ascii="Arial" w:hAnsi="Arial" w:cs="Arial"/>
        </w:rPr>
        <w:t>Financial management reform</w:t>
      </w:r>
      <w:r w:rsidR="00855417">
        <w:rPr>
          <w:rFonts w:ascii="Arial" w:hAnsi="Arial" w:cs="Arial"/>
        </w:rPr>
        <w:t>s</w:t>
      </w:r>
      <w:r w:rsidRPr="00855417">
        <w:rPr>
          <w:rFonts w:ascii="Arial" w:hAnsi="Arial" w:cs="Arial"/>
        </w:rPr>
        <w:t xml:space="preserve"> </w:t>
      </w:r>
      <w:r w:rsidR="00881DAB">
        <w:rPr>
          <w:rFonts w:ascii="Arial" w:hAnsi="Arial" w:cs="Arial"/>
        </w:rPr>
        <w:t>emphasizes</w:t>
      </w:r>
      <w:r w:rsidR="00855417">
        <w:rPr>
          <w:rFonts w:ascii="Arial" w:hAnsi="Arial" w:cs="Arial"/>
        </w:rPr>
        <w:t xml:space="preserve"> the importance of the municipal budget being funded. This requires the simultaneous assessment of the </w:t>
      </w:r>
      <w:r w:rsidR="00855417" w:rsidRPr="00855417">
        <w:rPr>
          <w:rFonts w:ascii="Arial" w:hAnsi="Arial" w:cs="Arial"/>
        </w:rPr>
        <w:t>Financial Performance, Financial Position and Cash Flow Budgets</w:t>
      </w:r>
      <w:r w:rsidR="00855417">
        <w:rPr>
          <w:rFonts w:ascii="Arial" w:hAnsi="Arial" w:cs="Arial"/>
        </w:rPr>
        <w:t>, along with the Capital Budget</w:t>
      </w:r>
      <w:r w:rsidR="00855417" w:rsidRPr="00855417">
        <w:rPr>
          <w:rFonts w:ascii="Arial" w:hAnsi="Arial" w:cs="Arial"/>
        </w:rPr>
        <w:t>.</w:t>
      </w:r>
      <w:r w:rsidRPr="00855417">
        <w:rPr>
          <w:rFonts w:ascii="Arial" w:hAnsi="Arial" w:cs="Arial"/>
        </w:rPr>
        <w:t xml:space="preserve"> The Budget Summary provides </w:t>
      </w:r>
      <w:r w:rsidR="00543267">
        <w:rPr>
          <w:rFonts w:ascii="Arial" w:hAnsi="Arial" w:cs="Arial"/>
        </w:rPr>
        <w:t>the key information in this regard:</w:t>
      </w:r>
    </w:p>
    <w:p w:rsidR="00543267" w:rsidRDefault="00543267" w:rsidP="00543267">
      <w:pPr>
        <w:pStyle w:val="ListParagraph"/>
        <w:numPr>
          <w:ilvl w:val="1"/>
          <w:numId w:val="16"/>
        </w:numPr>
        <w:spacing w:after="0" w:line="240" w:lineRule="auto"/>
        <w:jc w:val="both"/>
        <w:rPr>
          <w:rFonts w:ascii="Arial" w:hAnsi="Arial" w:cs="Arial"/>
        </w:rPr>
      </w:pPr>
      <w:r>
        <w:rPr>
          <w:rFonts w:ascii="Arial" w:hAnsi="Arial" w:cs="Arial"/>
        </w:rPr>
        <w:t>The operating surplus/deficit (afte</w:t>
      </w:r>
      <w:r w:rsidR="00B904D2">
        <w:rPr>
          <w:rFonts w:ascii="Arial" w:hAnsi="Arial" w:cs="Arial"/>
        </w:rPr>
        <w:t>r Total Expenditure) is negative</w:t>
      </w:r>
      <w:r>
        <w:rPr>
          <w:rFonts w:ascii="Arial" w:hAnsi="Arial" w:cs="Arial"/>
        </w:rPr>
        <w:t xml:space="preserve"> over the MTREF</w:t>
      </w:r>
    </w:p>
    <w:p w:rsidR="00FA7FA9" w:rsidRDefault="00543267" w:rsidP="00543267">
      <w:pPr>
        <w:pStyle w:val="ListParagraph"/>
        <w:numPr>
          <w:ilvl w:val="1"/>
          <w:numId w:val="16"/>
        </w:numPr>
        <w:spacing w:after="0" w:line="240" w:lineRule="auto"/>
        <w:jc w:val="both"/>
        <w:rPr>
          <w:rFonts w:ascii="Arial" w:hAnsi="Arial" w:cs="Arial"/>
        </w:rPr>
      </w:pPr>
      <w:r>
        <w:rPr>
          <w:rFonts w:ascii="Arial" w:hAnsi="Arial" w:cs="Arial"/>
        </w:rPr>
        <w:t>Capital expenditure is balanced by capital funding sources, of which</w:t>
      </w:r>
    </w:p>
    <w:p w:rsidR="00543267" w:rsidRPr="00B904D2" w:rsidRDefault="00543267" w:rsidP="00B904D2">
      <w:pPr>
        <w:pStyle w:val="ListParagraph"/>
        <w:numPr>
          <w:ilvl w:val="2"/>
          <w:numId w:val="16"/>
        </w:numPr>
        <w:spacing w:after="0" w:line="240" w:lineRule="auto"/>
        <w:jc w:val="both"/>
        <w:rPr>
          <w:rFonts w:ascii="Arial" w:hAnsi="Arial" w:cs="Arial"/>
        </w:rPr>
      </w:pPr>
      <w:r>
        <w:rPr>
          <w:rFonts w:ascii="Arial" w:hAnsi="Arial" w:cs="Arial"/>
        </w:rPr>
        <w:t xml:space="preserve">Transfers </w:t>
      </w:r>
      <w:proofErr w:type="spellStart"/>
      <w:r>
        <w:rPr>
          <w:rFonts w:ascii="Arial" w:hAnsi="Arial" w:cs="Arial"/>
        </w:rPr>
        <w:t>recognised</w:t>
      </w:r>
      <w:proofErr w:type="spellEnd"/>
      <w:r>
        <w:rPr>
          <w:rFonts w:ascii="Arial" w:hAnsi="Arial" w:cs="Arial"/>
        </w:rPr>
        <w:t xml:space="preserve"> is reflected on the Financial Performance Budget;</w:t>
      </w:r>
    </w:p>
    <w:p w:rsidR="003F1417" w:rsidRDefault="00783848" w:rsidP="003F1417">
      <w:pPr>
        <w:pStyle w:val="ListParagraph"/>
        <w:numPr>
          <w:ilvl w:val="2"/>
          <w:numId w:val="16"/>
        </w:numPr>
        <w:spacing w:after="0" w:line="240" w:lineRule="auto"/>
        <w:jc w:val="both"/>
        <w:rPr>
          <w:rFonts w:ascii="Arial" w:hAnsi="Arial" w:cs="Arial"/>
        </w:rPr>
      </w:pPr>
      <w:r>
        <w:rPr>
          <w:rFonts w:ascii="Arial" w:hAnsi="Arial" w:cs="Arial"/>
        </w:rPr>
        <w:t>Internally generated funds is financed from a combination of the current operating surplus and accumulated cash-backed surpluses from previous years.  The amount is incorporated in the Net cash from investi</w:t>
      </w:r>
      <w:r w:rsidR="00B904D2">
        <w:rPr>
          <w:rFonts w:ascii="Arial" w:hAnsi="Arial" w:cs="Arial"/>
        </w:rPr>
        <w:t>ng on the Cash Flow Budget.  Although the Cash flow has a positive balance, the municipality’s cash flow position is steal weak. Hence the municipali</w:t>
      </w:r>
      <w:r w:rsidR="003F1417">
        <w:rPr>
          <w:rFonts w:ascii="Arial" w:hAnsi="Arial" w:cs="Arial"/>
        </w:rPr>
        <w:t>ty has decided to keep its internally generated capital funding low.</w:t>
      </w:r>
    </w:p>
    <w:p w:rsidR="004258F0" w:rsidRPr="004258F0" w:rsidRDefault="004258F0" w:rsidP="004258F0">
      <w:pPr>
        <w:pStyle w:val="ListParagraph"/>
        <w:spacing w:after="0" w:line="240" w:lineRule="auto"/>
        <w:ind w:left="1800"/>
        <w:jc w:val="both"/>
        <w:rPr>
          <w:rFonts w:ascii="Arial" w:hAnsi="Arial" w:cs="Arial"/>
        </w:rPr>
      </w:pPr>
    </w:p>
    <w:p w:rsidR="004258F0" w:rsidRDefault="004258F0" w:rsidP="004258F0">
      <w:pPr>
        <w:pStyle w:val="ListParagraph"/>
        <w:numPr>
          <w:ilvl w:val="0"/>
          <w:numId w:val="16"/>
        </w:numPr>
        <w:spacing w:after="0" w:line="240" w:lineRule="auto"/>
        <w:jc w:val="both"/>
        <w:rPr>
          <w:rFonts w:ascii="Arial" w:hAnsi="Arial" w:cs="Arial"/>
        </w:rPr>
      </w:pPr>
      <w:r>
        <w:rPr>
          <w:rFonts w:ascii="Arial" w:hAnsi="Arial" w:cs="Arial"/>
        </w:rPr>
        <w:t>The Municipality plans to work hard on collecting its old debt. The revenue section has put a plan in action in this regard, as the municipality is putting great emphasis on regaining its financial stability.</w:t>
      </w:r>
    </w:p>
    <w:p w:rsidR="004258F0" w:rsidRPr="004258F0" w:rsidRDefault="000A5B44" w:rsidP="004258F0">
      <w:pPr>
        <w:pStyle w:val="ListParagraph"/>
        <w:numPr>
          <w:ilvl w:val="0"/>
          <w:numId w:val="16"/>
        </w:numPr>
        <w:spacing w:after="0" w:line="240" w:lineRule="auto"/>
        <w:jc w:val="both"/>
        <w:rPr>
          <w:rFonts w:ascii="Arial" w:hAnsi="Arial" w:cs="Arial"/>
        </w:rPr>
      </w:pPr>
      <w:r w:rsidRPr="004258F0">
        <w:rPr>
          <w:rFonts w:ascii="Arial" w:hAnsi="Arial" w:cs="Arial"/>
        </w:rPr>
        <w:t xml:space="preserve">Even though the Council is placing great emphasis on securing the financial sustainability of the municipality, </w:t>
      </w:r>
      <w:r w:rsidR="00E47111" w:rsidRPr="004258F0">
        <w:rPr>
          <w:rFonts w:ascii="Arial" w:hAnsi="Arial" w:cs="Arial"/>
        </w:rPr>
        <w:t>this is not being done at the expense of services to the poor.  The section of Free Services shows that the amount spent on Free Basic Services and the revenue cost of free services provided by the municipality continues to increase. In addition, the municipality continues to make progress in addressing service delive</w:t>
      </w:r>
      <w:r w:rsidR="003F1417" w:rsidRPr="004258F0">
        <w:rPr>
          <w:rFonts w:ascii="Arial" w:hAnsi="Arial" w:cs="Arial"/>
        </w:rPr>
        <w:t>ry backlogs.</w:t>
      </w:r>
    </w:p>
    <w:p w:rsidR="004258F0" w:rsidRDefault="004258F0" w:rsidP="003F1417">
      <w:pPr>
        <w:spacing w:after="0" w:line="240" w:lineRule="auto"/>
        <w:jc w:val="both"/>
        <w:rPr>
          <w:rFonts w:ascii="Arial" w:hAnsi="Arial" w:cs="Arial"/>
        </w:rPr>
      </w:pPr>
    </w:p>
    <w:p w:rsidR="003F1417" w:rsidRDefault="003F1417" w:rsidP="003F1417">
      <w:pPr>
        <w:spacing w:after="0" w:line="240" w:lineRule="auto"/>
        <w:jc w:val="both"/>
        <w:rPr>
          <w:rFonts w:cs="Arial"/>
        </w:rPr>
      </w:pPr>
      <w:r w:rsidRPr="003F1417">
        <w:rPr>
          <w:rFonts w:ascii="Arial" w:hAnsi="Arial" w:cs="Arial"/>
        </w:rPr>
        <w:t xml:space="preserve">  </w:t>
      </w:r>
      <w:r w:rsidR="00E97E17" w:rsidRPr="003F1417">
        <w:rPr>
          <w:rFonts w:cs="Arial"/>
        </w:rPr>
        <w:br w:type="column"/>
      </w:r>
      <w:bookmarkStart w:id="67" w:name="_Toc287342459"/>
    </w:p>
    <w:p w:rsidR="000915D6" w:rsidRPr="003F1417" w:rsidRDefault="007103F0" w:rsidP="003F1417">
      <w:pPr>
        <w:spacing w:after="0" w:line="240" w:lineRule="auto"/>
        <w:jc w:val="both"/>
        <w:rPr>
          <w:rFonts w:ascii="Arial" w:hAnsi="Arial" w:cs="Arial"/>
        </w:rPr>
      </w:pPr>
      <w:r>
        <w:t xml:space="preserve">Table </w:t>
      </w:r>
      <w:r w:rsidR="00951EB5">
        <w:fldChar w:fldCharType="begin"/>
      </w:r>
      <w:r w:rsidR="009F6B4A">
        <w:instrText xml:space="preserve"> SEQ Table \* ARABIC </w:instrText>
      </w:r>
      <w:r w:rsidR="00951EB5">
        <w:fldChar w:fldCharType="separate"/>
      </w:r>
      <w:r w:rsidR="00FB5E13">
        <w:rPr>
          <w:noProof/>
        </w:rPr>
        <w:t>11</w:t>
      </w:r>
      <w:r w:rsidR="00951EB5">
        <w:fldChar w:fldCharType="end"/>
      </w:r>
      <w:r>
        <w:t xml:space="preserve">  </w:t>
      </w:r>
      <w:r w:rsidRPr="007103F0">
        <w:t xml:space="preserve">MBRR </w:t>
      </w:r>
      <w:r w:rsidR="000915D6" w:rsidRPr="007103F0">
        <w:t>Table A2</w:t>
      </w:r>
      <w:r w:rsidR="00B374C8">
        <w:t xml:space="preserve"> -</w:t>
      </w:r>
      <w:r w:rsidR="00E97E17" w:rsidRPr="007103F0">
        <w:t xml:space="preserve"> Budgeted Financial </w:t>
      </w:r>
      <w:r w:rsidR="000915D6" w:rsidRPr="007103F0">
        <w:t>Performance (revenue and expenditure by standard classification)</w:t>
      </w:r>
      <w:bookmarkEnd w:id="67"/>
    </w:p>
    <w:p w:rsidR="00F9058D" w:rsidRPr="00353F34" w:rsidRDefault="00A10411" w:rsidP="00A50ECD">
      <w:pPr>
        <w:spacing w:after="0" w:line="240" w:lineRule="auto"/>
        <w:ind w:left="1440" w:hanging="1440"/>
        <w:rPr>
          <w:rFonts w:ascii="Arial" w:hAnsi="Arial" w:cs="Arial"/>
          <w:color w:val="E36C0A" w:themeColor="accent6" w:themeShade="BF"/>
          <w:sz w:val="24"/>
          <w:szCs w:val="24"/>
        </w:rPr>
      </w:pPr>
      <w:r w:rsidRPr="00A10411">
        <w:rPr>
          <w:noProof/>
          <w:lang w:val="en-ZA" w:eastAsia="en-ZA"/>
        </w:rPr>
        <w:drawing>
          <wp:inline distT="0" distB="0" distL="0" distR="0">
            <wp:extent cx="5995283" cy="5382895"/>
            <wp:effectExtent l="0" t="0" r="571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023" cy="5387151"/>
                    </a:xfrm>
                    <a:prstGeom prst="rect">
                      <a:avLst/>
                    </a:prstGeom>
                    <a:noFill/>
                    <a:ln>
                      <a:noFill/>
                    </a:ln>
                  </pic:spPr>
                </pic:pic>
              </a:graphicData>
            </a:graphic>
          </wp:inline>
        </w:drawing>
      </w:r>
    </w:p>
    <w:p w:rsidR="0033043D" w:rsidRDefault="0033043D" w:rsidP="00E47111">
      <w:pPr>
        <w:spacing w:after="0" w:line="240" w:lineRule="auto"/>
        <w:jc w:val="both"/>
        <w:rPr>
          <w:rFonts w:cs="Arial"/>
          <w:sz w:val="24"/>
          <w:szCs w:val="24"/>
        </w:rPr>
      </w:pPr>
    </w:p>
    <w:p w:rsidR="0033043D" w:rsidRDefault="0033043D" w:rsidP="00E47111">
      <w:pPr>
        <w:spacing w:after="0" w:line="240" w:lineRule="auto"/>
        <w:jc w:val="both"/>
        <w:rPr>
          <w:rFonts w:cs="Arial"/>
          <w:sz w:val="24"/>
          <w:szCs w:val="24"/>
        </w:rPr>
      </w:pPr>
    </w:p>
    <w:p w:rsidR="00E47111" w:rsidRDefault="00E47111" w:rsidP="00E47111">
      <w:pPr>
        <w:spacing w:after="0" w:line="240" w:lineRule="auto"/>
        <w:jc w:val="both"/>
        <w:rPr>
          <w:rFonts w:ascii="Arial" w:hAnsi="Arial" w:cs="Arial"/>
          <w:b/>
        </w:rPr>
      </w:pPr>
      <w:r w:rsidRPr="00470799">
        <w:rPr>
          <w:rFonts w:ascii="Arial" w:hAnsi="Arial" w:cs="Arial"/>
          <w:b/>
        </w:rPr>
        <w:t xml:space="preserve">Explanatory notes to </w:t>
      </w:r>
      <w:r w:rsidRPr="00E47111">
        <w:rPr>
          <w:rFonts w:ascii="Arial" w:hAnsi="Arial" w:cs="Arial"/>
          <w:b/>
        </w:rPr>
        <w:t>MBRR Table A2 - Budgeted Financial Performance (revenue and expenditure by standard classification)</w:t>
      </w:r>
    </w:p>
    <w:p w:rsidR="00E47111" w:rsidRPr="00470799" w:rsidRDefault="00E47111" w:rsidP="00E47111">
      <w:pPr>
        <w:spacing w:after="0" w:line="240" w:lineRule="auto"/>
        <w:jc w:val="both"/>
        <w:rPr>
          <w:rFonts w:ascii="Arial" w:hAnsi="Arial" w:cs="Arial"/>
          <w:b/>
        </w:rPr>
      </w:pPr>
    </w:p>
    <w:p w:rsidR="00E47111" w:rsidRDefault="00E47111" w:rsidP="00431595">
      <w:pPr>
        <w:pStyle w:val="ListParagraph"/>
        <w:numPr>
          <w:ilvl w:val="0"/>
          <w:numId w:val="18"/>
        </w:numPr>
        <w:spacing w:after="0" w:line="240" w:lineRule="auto"/>
        <w:ind w:left="360"/>
        <w:jc w:val="both"/>
        <w:rPr>
          <w:rFonts w:ascii="Arial" w:hAnsi="Arial" w:cs="Arial"/>
        </w:rPr>
      </w:pPr>
      <w:r w:rsidRPr="00431595">
        <w:rPr>
          <w:rFonts w:ascii="Arial" w:hAnsi="Arial" w:cs="Arial"/>
        </w:rPr>
        <w:t xml:space="preserve">Table A2 is a view of the budgeted financial performance in relation to revenue and expenditure per standard classification.  The modified GFS standard classification divides the </w:t>
      </w:r>
      <w:r w:rsidR="004258F0">
        <w:rPr>
          <w:rFonts w:ascii="Arial" w:hAnsi="Arial" w:cs="Arial"/>
        </w:rPr>
        <w:t>municipal services into 06</w:t>
      </w:r>
      <w:r w:rsidRPr="00431595">
        <w:rPr>
          <w:rFonts w:ascii="Arial" w:hAnsi="Arial" w:cs="Arial"/>
        </w:rPr>
        <w:t xml:space="preserve"> functional areas. Municipal revenue, operating expenditure and capital expenditure are then classified in terms if each of these functional areas which </w:t>
      </w:r>
      <w:r w:rsidR="00431595" w:rsidRPr="00431595">
        <w:rPr>
          <w:rFonts w:ascii="Arial" w:hAnsi="Arial" w:cs="Arial"/>
        </w:rPr>
        <w:t>enables the National Treasury to compile ‘</w:t>
      </w:r>
      <w:r w:rsidRPr="00431595">
        <w:rPr>
          <w:rFonts w:ascii="Arial" w:hAnsi="Arial" w:cs="Arial"/>
        </w:rPr>
        <w:t>whole of government</w:t>
      </w:r>
      <w:r w:rsidR="00431595" w:rsidRPr="00431595">
        <w:rPr>
          <w:rFonts w:ascii="Arial" w:hAnsi="Arial" w:cs="Arial"/>
        </w:rPr>
        <w:t>’ reports.</w:t>
      </w:r>
    </w:p>
    <w:p w:rsidR="00431595" w:rsidRDefault="00431595" w:rsidP="00431595">
      <w:pPr>
        <w:pStyle w:val="ListParagraph"/>
        <w:numPr>
          <w:ilvl w:val="0"/>
          <w:numId w:val="18"/>
        </w:numPr>
        <w:spacing w:after="0" w:line="240" w:lineRule="auto"/>
        <w:ind w:left="360"/>
        <w:jc w:val="both"/>
        <w:rPr>
          <w:rFonts w:ascii="Arial" w:hAnsi="Arial" w:cs="Arial"/>
        </w:rPr>
      </w:pPr>
      <w:r>
        <w:rPr>
          <w:rFonts w:ascii="Arial" w:hAnsi="Arial" w:cs="Arial"/>
        </w:rPr>
        <w:t xml:space="preserve">Note the Total Revenue on this table includes capital revenues (Transfers </w:t>
      </w:r>
      <w:proofErr w:type="spellStart"/>
      <w:r>
        <w:rPr>
          <w:rFonts w:ascii="Arial" w:hAnsi="Arial" w:cs="Arial"/>
        </w:rPr>
        <w:t>recognised</w:t>
      </w:r>
      <w:proofErr w:type="spellEnd"/>
      <w:r>
        <w:rPr>
          <w:rFonts w:ascii="Arial" w:hAnsi="Arial" w:cs="Arial"/>
        </w:rPr>
        <w:t xml:space="preserve"> – capital) and so does not balance to the operating revenue shown on Table A4.</w:t>
      </w:r>
    </w:p>
    <w:p w:rsidR="00431595" w:rsidRDefault="00431595" w:rsidP="00431595">
      <w:pPr>
        <w:pStyle w:val="ListParagraph"/>
        <w:numPr>
          <w:ilvl w:val="0"/>
          <w:numId w:val="18"/>
        </w:numPr>
        <w:spacing w:after="0" w:line="240" w:lineRule="auto"/>
        <w:ind w:left="360"/>
        <w:jc w:val="both"/>
        <w:rPr>
          <w:rFonts w:ascii="Arial" w:hAnsi="Arial" w:cs="Arial"/>
        </w:rPr>
      </w:pPr>
      <w:r>
        <w:rPr>
          <w:rFonts w:ascii="Arial" w:hAnsi="Arial" w:cs="Arial"/>
        </w:rPr>
        <w:t>Note that as a general principle the revenues for the Trading Services should exceed their expenditures.  The table highlights that thi</w:t>
      </w:r>
      <w:r w:rsidR="00F64DBB">
        <w:rPr>
          <w:rFonts w:ascii="Arial" w:hAnsi="Arial" w:cs="Arial"/>
        </w:rPr>
        <w:t xml:space="preserve">s is the case for Electricity, </w:t>
      </w:r>
      <w:r>
        <w:rPr>
          <w:rFonts w:ascii="Arial" w:hAnsi="Arial" w:cs="Arial"/>
        </w:rPr>
        <w:t>but not the Waste management function.  As already noted above, the municipality will be undertaking a detailed study of this function to explore ways of improving efficiencies and provide a basis for re-evaluating the function’s tariff structure.</w:t>
      </w:r>
    </w:p>
    <w:p w:rsidR="00431595" w:rsidRPr="00431595" w:rsidRDefault="00431595" w:rsidP="00431595">
      <w:pPr>
        <w:pStyle w:val="ListParagraph"/>
        <w:numPr>
          <w:ilvl w:val="0"/>
          <w:numId w:val="18"/>
        </w:numPr>
        <w:spacing w:after="0" w:line="240" w:lineRule="auto"/>
        <w:ind w:left="360"/>
        <w:jc w:val="both"/>
        <w:rPr>
          <w:rFonts w:ascii="Arial" w:hAnsi="Arial" w:cs="Arial"/>
        </w:rPr>
      </w:pPr>
      <w:r>
        <w:rPr>
          <w:rFonts w:ascii="Arial" w:hAnsi="Arial" w:cs="Arial"/>
        </w:rPr>
        <w:t>Other functions that show a deficit between revenue and expenditure are being financed from rates revenues and other reve</w:t>
      </w:r>
      <w:r w:rsidR="00F64DBB">
        <w:rPr>
          <w:rFonts w:ascii="Arial" w:hAnsi="Arial" w:cs="Arial"/>
        </w:rPr>
        <w:t>nue sources reflected under the other departments</w:t>
      </w:r>
      <w:r w:rsidR="004306D0">
        <w:rPr>
          <w:rFonts w:ascii="Arial" w:hAnsi="Arial" w:cs="Arial"/>
        </w:rPr>
        <w:t>.</w:t>
      </w:r>
    </w:p>
    <w:p w:rsidR="00431595" w:rsidRPr="00431595" w:rsidRDefault="00431595" w:rsidP="00431595">
      <w:pPr>
        <w:spacing w:after="0" w:line="240" w:lineRule="auto"/>
        <w:jc w:val="both"/>
        <w:rPr>
          <w:rFonts w:ascii="Arial" w:hAnsi="Arial" w:cs="Arial"/>
        </w:rPr>
      </w:pPr>
    </w:p>
    <w:p w:rsidR="00E47111" w:rsidRPr="00431595" w:rsidRDefault="00E47111" w:rsidP="00431595">
      <w:pPr>
        <w:spacing w:after="0" w:line="240" w:lineRule="auto"/>
        <w:jc w:val="both"/>
        <w:rPr>
          <w:rFonts w:ascii="Arial" w:hAnsi="Arial" w:cs="Arial"/>
        </w:rPr>
      </w:pPr>
    </w:p>
    <w:p w:rsidR="00B85BA5" w:rsidRPr="0033043D" w:rsidRDefault="007103F0" w:rsidP="0033043D">
      <w:pPr>
        <w:rPr>
          <w:rFonts w:ascii="Arial" w:hAnsi="Arial" w:cs="Arial"/>
          <w:b/>
          <w:bCs/>
          <w:sz w:val="24"/>
          <w:szCs w:val="24"/>
        </w:rPr>
      </w:pPr>
      <w:bookmarkStart w:id="68" w:name="_Toc287342460"/>
      <w:r>
        <w:t xml:space="preserve">Table </w:t>
      </w:r>
      <w:r w:rsidR="00951EB5">
        <w:fldChar w:fldCharType="begin"/>
      </w:r>
      <w:r w:rsidR="009F6B4A">
        <w:instrText xml:space="preserve"> SEQ Table \* ARABIC </w:instrText>
      </w:r>
      <w:r w:rsidR="00951EB5">
        <w:fldChar w:fldCharType="separate"/>
      </w:r>
      <w:r w:rsidR="00FB5E13">
        <w:rPr>
          <w:noProof/>
        </w:rPr>
        <w:t>12</w:t>
      </w:r>
      <w:r w:rsidR="00951EB5">
        <w:rPr>
          <w:noProof/>
        </w:rPr>
        <w:fldChar w:fldCharType="end"/>
      </w:r>
      <w:r>
        <w:t xml:space="preserve">  </w:t>
      </w:r>
      <w:r w:rsidRPr="007103F0">
        <w:t xml:space="preserve">MBRR </w:t>
      </w:r>
      <w:r w:rsidR="009E3665" w:rsidRPr="007103F0">
        <w:t xml:space="preserve">Table </w:t>
      </w:r>
      <w:r w:rsidR="000915D6" w:rsidRPr="007103F0">
        <w:t>A3</w:t>
      </w:r>
      <w:r w:rsidR="00B374C8">
        <w:t xml:space="preserve"> - </w:t>
      </w:r>
      <w:r w:rsidR="00B85BA5" w:rsidRPr="007103F0">
        <w:t>Budgeted Financial Performance (revenue and expenditure by municipal vote)</w:t>
      </w:r>
      <w:bookmarkEnd w:id="68"/>
    </w:p>
    <w:p w:rsidR="00F9058D" w:rsidRPr="00353F34" w:rsidRDefault="00A10411" w:rsidP="009E3665">
      <w:pPr>
        <w:spacing w:after="0" w:line="240" w:lineRule="auto"/>
        <w:ind w:left="1440" w:hanging="1440"/>
        <w:rPr>
          <w:rFonts w:ascii="Arial" w:hAnsi="Arial" w:cs="Arial"/>
          <w:color w:val="E36C0A" w:themeColor="accent6" w:themeShade="BF"/>
          <w:sz w:val="24"/>
          <w:szCs w:val="24"/>
        </w:rPr>
      </w:pPr>
      <w:r w:rsidRPr="00A10411">
        <w:rPr>
          <w:noProof/>
          <w:lang w:val="en-ZA" w:eastAsia="en-ZA"/>
        </w:rPr>
        <w:drawing>
          <wp:inline distT="0" distB="0" distL="0" distR="0">
            <wp:extent cx="5923722" cy="442087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7537" cy="4423717"/>
                    </a:xfrm>
                    <a:prstGeom prst="rect">
                      <a:avLst/>
                    </a:prstGeom>
                    <a:noFill/>
                    <a:ln>
                      <a:noFill/>
                    </a:ln>
                  </pic:spPr>
                </pic:pic>
              </a:graphicData>
            </a:graphic>
          </wp:inline>
        </w:drawing>
      </w:r>
    </w:p>
    <w:p w:rsidR="009E3665" w:rsidRDefault="009E3665" w:rsidP="009E3665">
      <w:pPr>
        <w:spacing w:after="0" w:line="240" w:lineRule="auto"/>
        <w:rPr>
          <w:rFonts w:ascii="Arial" w:hAnsi="Arial" w:cs="Arial"/>
          <w:i/>
          <w:sz w:val="20"/>
          <w:szCs w:val="20"/>
        </w:rPr>
      </w:pPr>
    </w:p>
    <w:p w:rsidR="00E47111" w:rsidRDefault="00E47111" w:rsidP="00E47111">
      <w:pPr>
        <w:spacing w:after="0" w:line="240" w:lineRule="auto"/>
        <w:jc w:val="both"/>
        <w:rPr>
          <w:rFonts w:ascii="Arial" w:hAnsi="Arial" w:cs="Arial"/>
          <w:b/>
        </w:rPr>
      </w:pPr>
      <w:r w:rsidRPr="00470799">
        <w:rPr>
          <w:rFonts w:ascii="Arial" w:hAnsi="Arial" w:cs="Arial"/>
          <w:b/>
        </w:rPr>
        <w:t xml:space="preserve">Explanatory notes </w:t>
      </w:r>
      <w:r>
        <w:rPr>
          <w:rFonts w:ascii="Arial" w:hAnsi="Arial" w:cs="Arial"/>
          <w:b/>
        </w:rPr>
        <w:t xml:space="preserve">to </w:t>
      </w:r>
      <w:r w:rsidRPr="00E47111">
        <w:rPr>
          <w:rFonts w:ascii="Arial" w:hAnsi="Arial" w:cs="Arial"/>
          <w:b/>
        </w:rPr>
        <w:t>MBRR Table A3 - Budgeted Financial Performance (revenue and expenditure by municipal vote)</w:t>
      </w:r>
    </w:p>
    <w:p w:rsidR="00E35EBB" w:rsidRPr="00E35EBB" w:rsidRDefault="00E35EBB" w:rsidP="00E47111">
      <w:pPr>
        <w:pStyle w:val="Caption"/>
        <w:spacing w:after="0"/>
        <w:jc w:val="both"/>
        <w:rPr>
          <w:rFonts w:cs="Arial"/>
          <w:b w:val="0"/>
          <w:bCs w:val="0"/>
          <w:szCs w:val="22"/>
        </w:rPr>
      </w:pPr>
    </w:p>
    <w:p w:rsidR="00E35EBB" w:rsidRDefault="00E35EBB" w:rsidP="004306D0">
      <w:pPr>
        <w:pStyle w:val="Caption"/>
        <w:numPr>
          <w:ilvl w:val="0"/>
          <w:numId w:val="19"/>
        </w:numPr>
        <w:spacing w:after="0"/>
        <w:jc w:val="both"/>
        <w:rPr>
          <w:rFonts w:cs="Arial"/>
          <w:b w:val="0"/>
          <w:bCs w:val="0"/>
          <w:szCs w:val="22"/>
        </w:rPr>
      </w:pPr>
      <w:r>
        <w:rPr>
          <w:rFonts w:cs="Arial"/>
          <w:b w:val="0"/>
          <w:bCs w:val="0"/>
          <w:szCs w:val="22"/>
        </w:rPr>
        <w:t xml:space="preserve">Table A3 is a view of the budgeted financial performance in relation to the revenue and expenditure per municipal vote.  This table facilitates the view of the budgeted operating performance in relation to the </w:t>
      </w:r>
      <w:proofErr w:type="spellStart"/>
      <w:r>
        <w:rPr>
          <w:rFonts w:cs="Arial"/>
          <w:b w:val="0"/>
          <w:bCs w:val="0"/>
          <w:szCs w:val="22"/>
        </w:rPr>
        <w:t>orga</w:t>
      </w:r>
      <w:r w:rsidR="00F64DBB">
        <w:rPr>
          <w:rFonts w:cs="Arial"/>
          <w:b w:val="0"/>
          <w:bCs w:val="0"/>
          <w:szCs w:val="22"/>
        </w:rPr>
        <w:t>nisational</w:t>
      </w:r>
      <w:proofErr w:type="spellEnd"/>
      <w:r w:rsidR="00F64DBB">
        <w:rPr>
          <w:rFonts w:cs="Arial"/>
          <w:b w:val="0"/>
          <w:bCs w:val="0"/>
          <w:szCs w:val="22"/>
        </w:rPr>
        <w:t xml:space="preserve"> structure of the Municipality</w:t>
      </w:r>
      <w:r>
        <w:rPr>
          <w:rFonts w:cs="Arial"/>
          <w:b w:val="0"/>
          <w:bCs w:val="0"/>
          <w:szCs w:val="22"/>
        </w:rPr>
        <w:t xml:space="preserve">.  This means it is possible to present the operating surplus or deficit of a vote. </w:t>
      </w:r>
      <w:r w:rsidR="000E381F">
        <w:rPr>
          <w:rFonts w:cs="Arial"/>
          <w:b w:val="0"/>
          <w:bCs w:val="0"/>
          <w:szCs w:val="22"/>
        </w:rPr>
        <w:t xml:space="preserve"> </w:t>
      </w:r>
      <w:r>
        <w:rPr>
          <w:rFonts w:cs="Arial"/>
          <w:b w:val="0"/>
          <w:bCs w:val="0"/>
          <w:szCs w:val="22"/>
        </w:rPr>
        <w:t>The following table is a</w:t>
      </w:r>
      <w:r w:rsidR="008E4B71">
        <w:rPr>
          <w:rFonts w:cs="Arial"/>
          <w:b w:val="0"/>
          <w:bCs w:val="0"/>
          <w:szCs w:val="22"/>
        </w:rPr>
        <w:t>n</w:t>
      </w:r>
      <w:r>
        <w:rPr>
          <w:rFonts w:cs="Arial"/>
          <w:b w:val="0"/>
          <w:bCs w:val="0"/>
          <w:szCs w:val="22"/>
        </w:rPr>
        <w:t xml:space="preserve"> analysis of the surplus or deficit for the</w:t>
      </w:r>
      <w:r w:rsidR="00881DAB">
        <w:rPr>
          <w:rFonts w:cs="Arial"/>
          <w:b w:val="0"/>
          <w:bCs w:val="0"/>
          <w:szCs w:val="22"/>
        </w:rPr>
        <w:t xml:space="preserve"> electricity </w:t>
      </w:r>
      <w:r>
        <w:rPr>
          <w:rFonts w:cs="Arial"/>
          <w:b w:val="0"/>
          <w:bCs w:val="0"/>
          <w:szCs w:val="22"/>
        </w:rPr>
        <w:t>services.</w:t>
      </w:r>
    </w:p>
    <w:p w:rsidR="00C13A59" w:rsidRDefault="00C13A59" w:rsidP="008E4B71">
      <w:pPr>
        <w:pStyle w:val="Caption"/>
      </w:pPr>
      <w:bookmarkStart w:id="69" w:name="_Toc287342461"/>
    </w:p>
    <w:p w:rsidR="008E4B71" w:rsidRPr="007103F0" w:rsidRDefault="008E4B71" w:rsidP="008E4B71">
      <w:pPr>
        <w:pStyle w:val="Caption"/>
      </w:pPr>
      <w:r>
        <w:t xml:space="preserve">Table </w:t>
      </w:r>
      <w:r w:rsidR="00951EB5">
        <w:fldChar w:fldCharType="begin"/>
      </w:r>
      <w:r w:rsidR="00B7350D">
        <w:instrText xml:space="preserve"> SEQ Table \* ARABIC </w:instrText>
      </w:r>
      <w:r w:rsidR="00951EB5">
        <w:fldChar w:fldCharType="separate"/>
      </w:r>
      <w:r w:rsidR="00FB5E13">
        <w:rPr>
          <w:noProof/>
        </w:rPr>
        <w:t>13</w:t>
      </w:r>
      <w:r w:rsidR="00951EB5">
        <w:rPr>
          <w:noProof/>
        </w:rPr>
        <w:fldChar w:fldCharType="end"/>
      </w:r>
      <w:r>
        <w:t xml:space="preserve"> </w:t>
      </w:r>
      <w:r w:rsidR="0021394A">
        <w:t xml:space="preserve"> </w:t>
      </w:r>
      <w:r>
        <w:t>Surplus</w:t>
      </w:r>
      <w:proofErr w:type="gramStart"/>
      <w:r>
        <w:t>/(</w:t>
      </w:r>
      <w:proofErr w:type="gramEnd"/>
      <w:r>
        <w:t>Deficit) calculations for the trading services</w:t>
      </w:r>
      <w:bookmarkEnd w:id="69"/>
    </w:p>
    <w:p w:rsidR="00B85BA5" w:rsidRPr="00A10411" w:rsidRDefault="007103F0" w:rsidP="00BA7F72">
      <w:pPr>
        <w:pStyle w:val="Caption"/>
      </w:pPr>
      <w:bookmarkStart w:id="70" w:name="_Toc287342462"/>
      <w:r w:rsidRPr="00BA7F72">
        <w:t xml:space="preserve">Table </w:t>
      </w:r>
      <w:r w:rsidR="00951EB5" w:rsidRPr="00BA7F72">
        <w:fldChar w:fldCharType="begin"/>
      </w:r>
      <w:r w:rsidR="009F6B4A" w:rsidRPr="00BA7F72">
        <w:instrText xml:space="preserve"> SEQ Table \* ARABIC </w:instrText>
      </w:r>
      <w:r w:rsidR="00951EB5" w:rsidRPr="00BA7F72">
        <w:fldChar w:fldCharType="separate"/>
      </w:r>
      <w:r w:rsidR="00FB5E13">
        <w:rPr>
          <w:noProof/>
        </w:rPr>
        <w:t>14</w:t>
      </w:r>
      <w:r w:rsidR="00951EB5" w:rsidRPr="00BA7F72">
        <w:fldChar w:fldCharType="end"/>
      </w:r>
      <w:r w:rsidRPr="00BA7F72">
        <w:t xml:space="preserve">  MBRR</w:t>
      </w:r>
      <w:r w:rsidR="009E3665" w:rsidRPr="00BA7F72">
        <w:t xml:space="preserve"> </w:t>
      </w:r>
      <w:r w:rsidR="00B85BA5" w:rsidRPr="00BA7F72">
        <w:t>Table A4</w:t>
      </w:r>
      <w:r w:rsidR="00B374C8" w:rsidRPr="00BA7F72">
        <w:t xml:space="preserve"> - </w:t>
      </w:r>
      <w:r w:rsidR="00B85BA5" w:rsidRPr="00BA7F72">
        <w:t>Budgeted Financial Performance (revenue and expenditure)</w:t>
      </w:r>
      <w:bookmarkEnd w:id="70"/>
    </w:p>
    <w:p w:rsidR="00F9058D" w:rsidRPr="00353F34" w:rsidRDefault="00A10411" w:rsidP="009E3665">
      <w:pPr>
        <w:spacing w:after="0" w:line="240" w:lineRule="auto"/>
        <w:rPr>
          <w:rFonts w:ascii="Arial" w:hAnsi="Arial" w:cs="Arial"/>
          <w:color w:val="E36C0A" w:themeColor="accent6" w:themeShade="BF"/>
          <w:sz w:val="24"/>
          <w:szCs w:val="24"/>
        </w:rPr>
      </w:pPr>
      <w:r w:rsidRPr="00A10411">
        <w:rPr>
          <w:noProof/>
          <w:lang w:val="en-ZA" w:eastAsia="en-ZA"/>
        </w:rPr>
        <w:drawing>
          <wp:inline distT="0" distB="0" distL="0" distR="0">
            <wp:extent cx="5883598" cy="724363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6385" cy="7259380"/>
                    </a:xfrm>
                    <a:prstGeom prst="rect">
                      <a:avLst/>
                    </a:prstGeom>
                    <a:noFill/>
                    <a:ln>
                      <a:noFill/>
                    </a:ln>
                  </pic:spPr>
                </pic:pic>
              </a:graphicData>
            </a:graphic>
          </wp:inline>
        </w:drawing>
      </w:r>
    </w:p>
    <w:p w:rsidR="00EA04C8" w:rsidRDefault="00EC1206" w:rsidP="00EA04C8">
      <w:pPr>
        <w:spacing w:after="0" w:line="240" w:lineRule="auto"/>
        <w:jc w:val="both"/>
        <w:rPr>
          <w:rFonts w:ascii="Arial" w:hAnsi="Arial" w:cs="Arial"/>
          <w:b/>
        </w:rPr>
      </w:pPr>
      <w:r>
        <w:rPr>
          <w:rFonts w:cs="Arial"/>
          <w:sz w:val="24"/>
          <w:szCs w:val="24"/>
        </w:rPr>
        <w:br w:type="column"/>
      </w:r>
      <w:r w:rsidR="00EA04C8" w:rsidRPr="00470799">
        <w:rPr>
          <w:rFonts w:ascii="Arial" w:hAnsi="Arial" w:cs="Arial"/>
          <w:b/>
        </w:rPr>
        <w:t xml:space="preserve">Explanatory notes </w:t>
      </w:r>
      <w:r w:rsidR="00EA04C8">
        <w:rPr>
          <w:rFonts w:ascii="Arial" w:hAnsi="Arial" w:cs="Arial"/>
          <w:b/>
        </w:rPr>
        <w:t>to</w:t>
      </w:r>
      <w:r w:rsidR="00112F8B" w:rsidRPr="00112F8B">
        <w:rPr>
          <w:rFonts w:ascii="Arial" w:hAnsi="Arial" w:cs="Arial"/>
          <w:b/>
        </w:rPr>
        <w:t xml:space="preserve"> Table A4 - Budgeted Financial Performance (revenue and expenditure)</w:t>
      </w:r>
    </w:p>
    <w:p w:rsidR="00EA04C8" w:rsidRPr="00EA04C8" w:rsidRDefault="00EA04C8" w:rsidP="00EA04C8">
      <w:pPr>
        <w:spacing w:after="0" w:line="240" w:lineRule="auto"/>
        <w:jc w:val="both"/>
        <w:rPr>
          <w:rFonts w:ascii="Arial" w:hAnsi="Arial" w:cs="Arial"/>
          <w:b/>
        </w:rPr>
      </w:pPr>
    </w:p>
    <w:p w:rsidR="00EA04C8" w:rsidRDefault="00B50E2D" w:rsidP="00EA04C8">
      <w:pPr>
        <w:pStyle w:val="Caption"/>
        <w:numPr>
          <w:ilvl w:val="0"/>
          <w:numId w:val="20"/>
        </w:numPr>
        <w:spacing w:after="0"/>
        <w:jc w:val="both"/>
        <w:rPr>
          <w:rFonts w:cs="Arial"/>
          <w:b w:val="0"/>
          <w:bCs w:val="0"/>
          <w:szCs w:val="22"/>
        </w:rPr>
      </w:pPr>
      <w:r w:rsidRPr="00EA04C8">
        <w:rPr>
          <w:rFonts w:cs="Arial"/>
          <w:b w:val="0"/>
          <w:bCs w:val="0"/>
          <w:szCs w:val="22"/>
        </w:rPr>
        <w:t xml:space="preserve">Total revenue </w:t>
      </w:r>
      <w:r w:rsidR="00EA04C8">
        <w:rPr>
          <w:rFonts w:cs="Arial"/>
          <w:b w:val="0"/>
          <w:bCs w:val="0"/>
          <w:szCs w:val="22"/>
        </w:rPr>
        <w:t xml:space="preserve">is </w:t>
      </w:r>
      <w:r w:rsidR="004454A3">
        <w:rPr>
          <w:rFonts w:cs="Arial"/>
          <w:b w:val="0"/>
          <w:bCs w:val="0"/>
          <w:szCs w:val="22"/>
        </w:rPr>
        <w:t>R611</w:t>
      </w:r>
      <w:r w:rsidR="006B211E">
        <w:rPr>
          <w:rFonts w:cs="Arial"/>
          <w:b w:val="0"/>
          <w:bCs w:val="0"/>
          <w:szCs w:val="22"/>
        </w:rPr>
        <w:t xml:space="preserve"> </w:t>
      </w:r>
      <w:r w:rsidR="005B615C">
        <w:rPr>
          <w:rFonts w:cs="Arial"/>
          <w:b w:val="0"/>
          <w:bCs w:val="0"/>
          <w:szCs w:val="22"/>
        </w:rPr>
        <w:t xml:space="preserve">million in </w:t>
      </w:r>
      <w:r w:rsidR="004454A3">
        <w:rPr>
          <w:rFonts w:cs="Arial"/>
          <w:b w:val="0"/>
          <w:bCs w:val="0"/>
          <w:szCs w:val="22"/>
        </w:rPr>
        <w:t>2019/20</w:t>
      </w:r>
      <w:r w:rsidR="00570C09">
        <w:rPr>
          <w:rFonts w:cs="Arial"/>
          <w:b w:val="0"/>
          <w:bCs w:val="0"/>
          <w:szCs w:val="22"/>
        </w:rPr>
        <w:t xml:space="preserve"> and in</w:t>
      </w:r>
      <w:r w:rsidR="00E85BA3">
        <w:rPr>
          <w:rFonts w:cs="Arial"/>
          <w:b w:val="0"/>
          <w:bCs w:val="0"/>
          <w:szCs w:val="22"/>
        </w:rPr>
        <w:t>crease</w:t>
      </w:r>
      <w:r w:rsidR="00881DAB">
        <w:rPr>
          <w:rFonts w:cs="Arial"/>
          <w:b w:val="0"/>
          <w:bCs w:val="0"/>
          <w:szCs w:val="22"/>
        </w:rPr>
        <w:t xml:space="preserve"> to R</w:t>
      </w:r>
      <w:r w:rsidR="004454A3">
        <w:rPr>
          <w:rFonts w:cs="Arial"/>
          <w:b w:val="0"/>
          <w:bCs w:val="0"/>
          <w:szCs w:val="22"/>
        </w:rPr>
        <w:t>685 million by 20</w:t>
      </w:r>
      <w:r w:rsidR="00962C25">
        <w:rPr>
          <w:rFonts w:cs="Arial"/>
          <w:b w:val="0"/>
          <w:bCs w:val="0"/>
          <w:szCs w:val="22"/>
        </w:rPr>
        <w:t>21</w:t>
      </w:r>
      <w:r w:rsidR="004454A3">
        <w:rPr>
          <w:rFonts w:cs="Arial"/>
          <w:b w:val="0"/>
          <w:bCs w:val="0"/>
          <w:szCs w:val="22"/>
        </w:rPr>
        <w:t>/22</w:t>
      </w:r>
      <w:r w:rsidRPr="00EA04C8">
        <w:rPr>
          <w:rFonts w:cs="Arial"/>
          <w:b w:val="0"/>
          <w:bCs w:val="0"/>
          <w:szCs w:val="22"/>
        </w:rPr>
        <w:t>.  This represents a year</w:t>
      </w:r>
      <w:r w:rsidR="00EA04C8">
        <w:rPr>
          <w:rFonts w:cs="Arial"/>
          <w:b w:val="0"/>
          <w:bCs w:val="0"/>
          <w:szCs w:val="22"/>
        </w:rPr>
        <w:t>-</w:t>
      </w:r>
      <w:r w:rsidRPr="00EA04C8">
        <w:rPr>
          <w:rFonts w:cs="Arial"/>
          <w:b w:val="0"/>
          <w:bCs w:val="0"/>
          <w:szCs w:val="22"/>
        </w:rPr>
        <w:t>on</w:t>
      </w:r>
      <w:r w:rsidR="00EA04C8">
        <w:rPr>
          <w:rFonts w:cs="Arial"/>
          <w:b w:val="0"/>
          <w:bCs w:val="0"/>
          <w:szCs w:val="22"/>
        </w:rPr>
        <w:t>-</w:t>
      </w:r>
      <w:r w:rsidR="00570C09">
        <w:rPr>
          <w:rFonts w:cs="Arial"/>
          <w:b w:val="0"/>
          <w:bCs w:val="0"/>
          <w:szCs w:val="22"/>
        </w:rPr>
        <w:t>year in</w:t>
      </w:r>
      <w:r w:rsidR="00E85BA3">
        <w:rPr>
          <w:rFonts w:cs="Arial"/>
          <w:b w:val="0"/>
          <w:bCs w:val="0"/>
          <w:szCs w:val="22"/>
        </w:rPr>
        <w:t>crease</w:t>
      </w:r>
      <w:r w:rsidR="004454A3">
        <w:rPr>
          <w:rFonts w:cs="Arial"/>
          <w:b w:val="0"/>
          <w:bCs w:val="0"/>
          <w:szCs w:val="22"/>
        </w:rPr>
        <w:t xml:space="preserve"> of 5.4 per cent for the 2020/21 financial year and 5.4</w:t>
      </w:r>
      <w:r w:rsidR="006B211E">
        <w:rPr>
          <w:rFonts w:cs="Arial"/>
          <w:b w:val="0"/>
          <w:bCs w:val="0"/>
          <w:szCs w:val="22"/>
        </w:rPr>
        <w:t xml:space="preserve"> </w:t>
      </w:r>
      <w:r w:rsidR="00FA3A69">
        <w:rPr>
          <w:rFonts w:cs="Arial"/>
          <w:b w:val="0"/>
          <w:bCs w:val="0"/>
          <w:szCs w:val="22"/>
        </w:rPr>
        <w:t>per cent</w:t>
      </w:r>
      <w:r w:rsidR="00570C09">
        <w:rPr>
          <w:rFonts w:cs="Arial"/>
          <w:b w:val="0"/>
          <w:bCs w:val="0"/>
          <w:szCs w:val="22"/>
        </w:rPr>
        <w:t xml:space="preserve"> f</w:t>
      </w:r>
      <w:r w:rsidR="004454A3">
        <w:rPr>
          <w:rFonts w:cs="Arial"/>
          <w:b w:val="0"/>
          <w:bCs w:val="0"/>
          <w:szCs w:val="22"/>
        </w:rPr>
        <w:t>or the 2021/22</w:t>
      </w:r>
      <w:r w:rsidRPr="00EA04C8">
        <w:rPr>
          <w:rFonts w:cs="Arial"/>
          <w:b w:val="0"/>
          <w:bCs w:val="0"/>
          <w:szCs w:val="22"/>
        </w:rPr>
        <w:t xml:space="preserve"> financial year. </w:t>
      </w:r>
    </w:p>
    <w:p w:rsidR="00EC1206" w:rsidRPr="00EA04C8" w:rsidRDefault="00EC1206" w:rsidP="00EA04C8">
      <w:pPr>
        <w:pStyle w:val="Caption"/>
        <w:numPr>
          <w:ilvl w:val="0"/>
          <w:numId w:val="20"/>
        </w:numPr>
        <w:spacing w:after="0"/>
        <w:jc w:val="both"/>
        <w:rPr>
          <w:rFonts w:cs="Arial"/>
          <w:b w:val="0"/>
          <w:bCs w:val="0"/>
          <w:szCs w:val="22"/>
        </w:rPr>
      </w:pPr>
      <w:r w:rsidRPr="00EA04C8">
        <w:rPr>
          <w:rFonts w:cs="Arial"/>
          <w:b w:val="0"/>
          <w:bCs w:val="0"/>
          <w:szCs w:val="22"/>
        </w:rPr>
        <w:t>Revenue to be generated f</w:t>
      </w:r>
      <w:r w:rsidR="004454A3">
        <w:rPr>
          <w:rFonts w:cs="Arial"/>
          <w:b w:val="0"/>
          <w:bCs w:val="0"/>
          <w:szCs w:val="22"/>
        </w:rPr>
        <w:t>rom property rates is R90</w:t>
      </w:r>
      <w:r w:rsidR="005B615C">
        <w:rPr>
          <w:rFonts w:cs="Arial"/>
          <w:b w:val="0"/>
          <w:bCs w:val="0"/>
          <w:szCs w:val="22"/>
        </w:rPr>
        <w:t xml:space="preserve"> million in the </w:t>
      </w:r>
      <w:r w:rsidR="004454A3">
        <w:rPr>
          <w:rFonts w:cs="Arial"/>
          <w:b w:val="0"/>
          <w:bCs w:val="0"/>
          <w:szCs w:val="22"/>
        </w:rPr>
        <w:t>2019/20</w:t>
      </w:r>
      <w:r w:rsidRPr="00EA04C8">
        <w:rPr>
          <w:rFonts w:cs="Arial"/>
          <w:b w:val="0"/>
          <w:bCs w:val="0"/>
          <w:szCs w:val="22"/>
        </w:rPr>
        <w:t xml:space="preserve"> financial ye</w:t>
      </w:r>
      <w:r w:rsidR="004454A3">
        <w:rPr>
          <w:rFonts w:cs="Arial"/>
          <w:b w:val="0"/>
          <w:bCs w:val="0"/>
          <w:szCs w:val="22"/>
        </w:rPr>
        <w:t>ar and increases to R100 million by 2021/22 which represents 11</w:t>
      </w:r>
      <w:r w:rsidRPr="00EA04C8">
        <w:rPr>
          <w:rFonts w:cs="Arial"/>
          <w:b w:val="0"/>
          <w:bCs w:val="0"/>
          <w:szCs w:val="22"/>
        </w:rPr>
        <w:t xml:space="preserve"> per cent of the op</w:t>
      </w:r>
      <w:r w:rsidR="005B615C">
        <w:rPr>
          <w:rFonts w:cs="Arial"/>
          <w:b w:val="0"/>
          <w:bCs w:val="0"/>
          <w:szCs w:val="22"/>
        </w:rPr>
        <w:t>erating revenue base of the Municipality</w:t>
      </w:r>
      <w:r w:rsidR="00B50E2D" w:rsidRPr="00EA04C8">
        <w:rPr>
          <w:rFonts w:cs="Arial"/>
          <w:b w:val="0"/>
          <w:bCs w:val="0"/>
          <w:szCs w:val="22"/>
        </w:rPr>
        <w:t xml:space="preserve"> and therefore remains a significant funding source for the municipality</w:t>
      </w:r>
      <w:r w:rsidRPr="00EA04C8">
        <w:rPr>
          <w:rFonts w:cs="Arial"/>
          <w:b w:val="0"/>
          <w:bCs w:val="0"/>
          <w:szCs w:val="22"/>
        </w:rPr>
        <w:t xml:space="preserve">. </w:t>
      </w:r>
      <w:r w:rsidR="00EA04C8">
        <w:rPr>
          <w:rFonts w:cs="Arial"/>
          <w:b w:val="0"/>
          <w:bCs w:val="0"/>
          <w:szCs w:val="22"/>
        </w:rPr>
        <w:t xml:space="preserve"> </w:t>
      </w:r>
      <w:r w:rsidRPr="00EA04C8">
        <w:rPr>
          <w:rFonts w:cs="Arial"/>
          <w:b w:val="0"/>
          <w:bCs w:val="0"/>
          <w:szCs w:val="22"/>
        </w:rPr>
        <w:t>It remains relativel</w:t>
      </w:r>
      <w:r w:rsidR="00B50E2D" w:rsidRPr="00EA04C8">
        <w:rPr>
          <w:rFonts w:cs="Arial"/>
          <w:b w:val="0"/>
          <w:bCs w:val="0"/>
          <w:szCs w:val="22"/>
        </w:rPr>
        <w:t>y constant over the medium-term and tariff incre</w:t>
      </w:r>
      <w:r w:rsidR="004454A3">
        <w:rPr>
          <w:rFonts w:cs="Arial"/>
          <w:b w:val="0"/>
          <w:bCs w:val="0"/>
          <w:szCs w:val="22"/>
        </w:rPr>
        <w:t>ases have been factored in at 5.2 per cent, and 5.4</w:t>
      </w:r>
      <w:r w:rsidR="00B50E2D" w:rsidRPr="00EA04C8">
        <w:rPr>
          <w:rFonts w:cs="Arial"/>
          <w:b w:val="0"/>
          <w:bCs w:val="0"/>
          <w:szCs w:val="22"/>
        </w:rPr>
        <w:t xml:space="preserve"> per cent for each of the respective financial years of the MTREF.</w:t>
      </w:r>
    </w:p>
    <w:p w:rsidR="00B50E2D" w:rsidRPr="00EA04C8" w:rsidRDefault="00B50E2D" w:rsidP="00EA04C8">
      <w:pPr>
        <w:pStyle w:val="Caption"/>
        <w:numPr>
          <w:ilvl w:val="0"/>
          <w:numId w:val="20"/>
        </w:numPr>
        <w:spacing w:after="0"/>
        <w:jc w:val="both"/>
        <w:rPr>
          <w:rFonts w:cs="Arial"/>
          <w:b w:val="0"/>
          <w:bCs w:val="0"/>
          <w:szCs w:val="22"/>
        </w:rPr>
      </w:pPr>
      <w:r w:rsidRPr="00EA04C8">
        <w:rPr>
          <w:rFonts w:cs="Arial"/>
          <w:b w:val="0"/>
          <w:bCs w:val="0"/>
          <w:szCs w:val="22"/>
        </w:rPr>
        <w:t>Services charges relating t</w:t>
      </w:r>
      <w:r w:rsidR="005B615C">
        <w:rPr>
          <w:rFonts w:cs="Arial"/>
          <w:b w:val="0"/>
          <w:bCs w:val="0"/>
          <w:szCs w:val="22"/>
        </w:rPr>
        <w:t>o electricity</w:t>
      </w:r>
      <w:r w:rsidRPr="00EA04C8">
        <w:rPr>
          <w:rFonts w:cs="Arial"/>
          <w:b w:val="0"/>
          <w:bCs w:val="0"/>
          <w:szCs w:val="22"/>
        </w:rPr>
        <w:t xml:space="preserve"> and refuse removal constitutes the biggest component o</w:t>
      </w:r>
      <w:r w:rsidR="005B615C">
        <w:rPr>
          <w:rFonts w:cs="Arial"/>
          <w:b w:val="0"/>
          <w:bCs w:val="0"/>
          <w:szCs w:val="22"/>
        </w:rPr>
        <w:t>f the revenue basket of</w:t>
      </w:r>
      <w:r w:rsidR="00E85BA3">
        <w:rPr>
          <w:rFonts w:cs="Arial"/>
          <w:b w:val="0"/>
          <w:bCs w:val="0"/>
          <w:szCs w:val="22"/>
        </w:rPr>
        <w:t xml:space="preserve"> the Municipality tota</w:t>
      </w:r>
      <w:r w:rsidR="004454A3">
        <w:rPr>
          <w:rFonts w:cs="Arial"/>
          <w:b w:val="0"/>
          <w:bCs w:val="0"/>
          <w:szCs w:val="22"/>
        </w:rPr>
        <w:t>ling R258</w:t>
      </w:r>
      <w:r w:rsidR="005B615C">
        <w:rPr>
          <w:rFonts w:cs="Arial"/>
          <w:b w:val="0"/>
          <w:bCs w:val="0"/>
          <w:szCs w:val="22"/>
        </w:rPr>
        <w:t xml:space="preserve"> million for the </w:t>
      </w:r>
      <w:r w:rsidR="004454A3">
        <w:rPr>
          <w:rFonts w:cs="Arial"/>
          <w:b w:val="0"/>
          <w:bCs w:val="0"/>
          <w:szCs w:val="22"/>
        </w:rPr>
        <w:t>2019/20</w:t>
      </w:r>
      <w:r w:rsidRPr="00EA04C8">
        <w:rPr>
          <w:rFonts w:cs="Arial"/>
          <w:b w:val="0"/>
          <w:bCs w:val="0"/>
          <w:szCs w:val="22"/>
        </w:rPr>
        <w:t xml:space="preserve"> financial year</w:t>
      </w:r>
      <w:r w:rsidR="00F96F00">
        <w:rPr>
          <w:rFonts w:cs="Arial"/>
          <w:b w:val="0"/>
          <w:bCs w:val="0"/>
          <w:szCs w:val="22"/>
        </w:rPr>
        <w:t xml:space="preserve"> </w:t>
      </w:r>
      <w:r w:rsidR="004454A3">
        <w:rPr>
          <w:rFonts w:cs="Arial"/>
          <w:b w:val="0"/>
          <w:bCs w:val="0"/>
          <w:szCs w:val="22"/>
        </w:rPr>
        <w:t>and increasing to R287 million by 2021/22</w:t>
      </w:r>
      <w:r w:rsidR="00F96F00">
        <w:rPr>
          <w:rFonts w:cs="Arial"/>
          <w:b w:val="0"/>
          <w:bCs w:val="0"/>
          <w:szCs w:val="22"/>
        </w:rPr>
        <w:t xml:space="preserve">.  For the </w:t>
      </w:r>
      <w:r w:rsidR="004454A3">
        <w:rPr>
          <w:rFonts w:cs="Arial"/>
          <w:b w:val="0"/>
          <w:bCs w:val="0"/>
          <w:szCs w:val="22"/>
        </w:rPr>
        <w:t>2019/20</w:t>
      </w:r>
      <w:r w:rsidRPr="00EA04C8">
        <w:rPr>
          <w:rFonts w:cs="Arial"/>
          <w:b w:val="0"/>
          <w:bCs w:val="0"/>
          <w:szCs w:val="22"/>
        </w:rPr>
        <w:t xml:space="preserve"> financial ye</w:t>
      </w:r>
      <w:r w:rsidR="00F96F00">
        <w:rPr>
          <w:rFonts w:cs="Arial"/>
          <w:b w:val="0"/>
          <w:bCs w:val="0"/>
          <w:szCs w:val="22"/>
        </w:rPr>
        <w:t xml:space="preserve">ar </w:t>
      </w:r>
      <w:r w:rsidR="004454A3">
        <w:rPr>
          <w:rFonts w:cs="Arial"/>
          <w:b w:val="0"/>
          <w:bCs w:val="0"/>
          <w:szCs w:val="22"/>
        </w:rPr>
        <w:t>services charges amount to 46</w:t>
      </w:r>
      <w:r w:rsidRPr="00EA04C8">
        <w:rPr>
          <w:rFonts w:cs="Arial"/>
          <w:b w:val="0"/>
          <w:bCs w:val="0"/>
          <w:szCs w:val="22"/>
        </w:rPr>
        <w:t xml:space="preserve"> per cent of the t</w:t>
      </w:r>
      <w:r w:rsidR="004454A3">
        <w:rPr>
          <w:rFonts w:cs="Arial"/>
          <w:b w:val="0"/>
          <w:bCs w:val="0"/>
          <w:szCs w:val="22"/>
        </w:rPr>
        <w:t>otal revenue base and grows by 5.2</w:t>
      </w:r>
      <w:r w:rsidRPr="00EA04C8">
        <w:rPr>
          <w:rFonts w:cs="Arial"/>
          <w:b w:val="0"/>
          <w:bCs w:val="0"/>
          <w:szCs w:val="22"/>
        </w:rPr>
        <w:t xml:space="preserve"> per cent per annum over the medium-term.  This growth can mainly be attributed to the increase in the bulk</w:t>
      </w:r>
      <w:r w:rsidR="00F96F00">
        <w:rPr>
          <w:rFonts w:cs="Arial"/>
          <w:b w:val="0"/>
          <w:bCs w:val="0"/>
          <w:szCs w:val="22"/>
        </w:rPr>
        <w:t xml:space="preserve"> prices of electricity</w:t>
      </w:r>
      <w:r w:rsidRPr="00EA04C8">
        <w:rPr>
          <w:rFonts w:cs="Arial"/>
          <w:b w:val="0"/>
          <w:bCs w:val="0"/>
          <w:szCs w:val="22"/>
        </w:rPr>
        <w:t>.</w:t>
      </w:r>
    </w:p>
    <w:p w:rsidR="00EA04C8" w:rsidRPr="00962C25" w:rsidRDefault="00EA04C8" w:rsidP="00962C25">
      <w:pPr>
        <w:pStyle w:val="Caption"/>
        <w:numPr>
          <w:ilvl w:val="0"/>
          <w:numId w:val="20"/>
        </w:numPr>
        <w:spacing w:after="0"/>
        <w:jc w:val="both"/>
        <w:rPr>
          <w:rFonts w:cs="Arial"/>
          <w:b w:val="0"/>
          <w:bCs w:val="0"/>
          <w:szCs w:val="22"/>
        </w:rPr>
      </w:pPr>
      <w:r>
        <w:rPr>
          <w:rFonts w:cs="Arial"/>
          <w:b w:val="0"/>
          <w:bCs w:val="0"/>
          <w:szCs w:val="22"/>
        </w:rPr>
        <w:t xml:space="preserve">Transfers </w:t>
      </w:r>
      <w:proofErr w:type="spellStart"/>
      <w:r>
        <w:rPr>
          <w:rFonts w:cs="Arial"/>
          <w:b w:val="0"/>
          <w:bCs w:val="0"/>
          <w:szCs w:val="22"/>
        </w:rPr>
        <w:t>recognised</w:t>
      </w:r>
      <w:proofErr w:type="spellEnd"/>
      <w:r>
        <w:rPr>
          <w:rFonts w:cs="Arial"/>
          <w:b w:val="0"/>
          <w:bCs w:val="0"/>
          <w:szCs w:val="22"/>
        </w:rPr>
        <w:t xml:space="preserve"> – operating includes the local government equitable share and other operating grants from national and provincial government.</w:t>
      </w:r>
      <w:r w:rsidR="00112F8B">
        <w:rPr>
          <w:rFonts w:cs="Arial"/>
          <w:b w:val="0"/>
          <w:bCs w:val="0"/>
          <w:szCs w:val="22"/>
        </w:rPr>
        <w:t xml:space="preserve"> </w:t>
      </w:r>
      <w:r>
        <w:rPr>
          <w:rFonts w:cs="Arial"/>
          <w:b w:val="0"/>
          <w:bCs w:val="0"/>
          <w:szCs w:val="22"/>
        </w:rPr>
        <w:t xml:space="preserve"> </w:t>
      </w:r>
      <w:r w:rsidR="00B50E2D" w:rsidRPr="00EA04C8">
        <w:rPr>
          <w:rFonts w:cs="Arial"/>
          <w:b w:val="0"/>
          <w:bCs w:val="0"/>
          <w:szCs w:val="22"/>
        </w:rPr>
        <w:t>It needs to be noted that in real terms the grants receipts from nationa</w:t>
      </w:r>
      <w:r w:rsidR="00F96F00">
        <w:rPr>
          <w:rFonts w:cs="Arial"/>
          <w:b w:val="0"/>
          <w:bCs w:val="0"/>
          <w:szCs w:val="22"/>
        </w:rPr>
        <w:t xml:space="preserve">l government are </w:t>
      </w:r>
      <w:r w:rsidR="002E3675">
        <w:rPr>
          <w:rFonts w:cs="Arial"/>
          <w:b w:val="0"/>
          <w:bCs w:val="0"/>
          <w:szCs w:val="22"/>
        </w:rPr>
        <w:t xml:space="preserve">growing over the MTREF by 3.5per cent. </w:t>
      </w:r>
      <w:r w:rsidR="00B50E2D" w:rsidRPr="00EA04C8">
        <w:rPr>
          <w:rFonts w:cs="Arial"/>
          <w:b w:val="0"/>
          <w:bCs w:val="0"/>
          <w:szCs w:val="22"/>
        </w:rPr>
        <w:t xml:space="preserve">The percentage </w:t>
      </w:r>
      <w:r w:rsidR="002E3675">
        <w:rPr>
          <w:rFonts w:cs="Arial"/>
          <w:b w:val="0"/>
          <w:bCs w:val="0"/>
          <w:szCs w:val="22"/>
        </w:rPr>
        <w:t xml:space="preserve">increase in based on the allocations set out for the municipality. </w:t>
      </w:r>
    </w:p>
    <w:p w:rsidR="00112F8B" w:rsidRDefault="00B50E2D" w:rsidP="00112F8B">
      <w:pPr>
        <w:pStyle w:val="Caption"/>
        <w:numPr>
          <w:ilvl w:val="0"/>
          <w:numId w:val="20"/>
        </w:numPr>
        <w:spacing w:after="0"/>
        <w:jc w:val="both"/>
        <w:rPr>
          <w:rFonts w:cs="Arial"/>
          <w:b w:val="0"/>
          <w:bCs w:val="0"/>
          <w:szCs w:val="22"/>
        </w:rPr>
      </w:pPr>
      <w:r w:rsidRPr="00112F8B">
        <w:rPr>
          <w:rFonts w:cs="Arial"/>
          <w:b w:val="0"/>
          <w:bCs w:val="0"/>
          <w:szCs w:val="22"/>
        </w:rPr>
        <w:t>Bulk purchases have signif</w:t>
      </w:r>
      <w:r w:rsidR="002E3675">
        <w:rPr>
          <w:rFonts w:cs="Arial"/>
          <w:b w:val="0"/>
          <w:bCs w:val="0"/>
          <w:szCs w:val="22"/>
        </w:rPr>
        <w:t>icantly incre</w:t>
      </w:r>
      <w:r w:rsidR="00962C25">
        <w:rPr>
          <w:rFonts w:cs="Arial"/>
          <w:b w:val="0"/>
          <w:bCs w:val="0"/>
          <w:szCs w:val="22"/>
        </w:rPr>
        <w:t xml:space="preserve">ased over the </w:t>
      </w:r>
      <w:r w:rsidR="004454A3">
        <w:rPr>
          <w:rFonts w:cs="Arial"/>
          <w:b w:val="0"/>
          <w:bCs w:val="0"/>
          <w:szCs w:val="22"/>
        </w:rPr>
        <w:t>2019/20</w:t>
      </w:r>
      <w:r w:rsidR="00F96F00">
        <w:rPr>
          <w:rFonts w:cs="Arial"/>
          <w:b w:val="0"/>
          <w:bCs w:val="0"/>
          <w:szCs w:val="22"/>
        </w:rPr>
        <w:t xml:space="preserve"> to </w:t>
      </w:r>
      <w:r w:rsidR="004454A3">
        <w:rPr>
          <w:rFonts w:cs="Arial"/>
          <w:b w:val="0"/>
          <w:bCs w:val="0"/>
          <w:szCs w:val="22"/>
        </w:rPr>
        <w:t>2021/22</w:t>
      </w:r>
      <w:r w:rsidRPr="00112F8B">
        <w:rPr>
          <w:rFonts w:cs="Arial"/>
          <w:b w:val="0"/>
          <w:bCs w:val="0"/>
          <w:szCs w:val="22"/>
        </w:rPr>
        <w:t xml:space="preserve"> per</w:t>
      </w:r>
      <w:r w:rsidR="002E3675">
        <w:rPr>
          <w:rFonts w:cs="Arial"/>
          <w:b w:val="0"/>
          <w:bCs w:val="0"/>
          <w:szCs w:val="22"/>
        </w:rPr>
        <w:t>iod esca</w:t>
      </w:r>
      <w:r w:rsidR="004454A3">
        <w:rPr>
          <w:rFonts w:cs="Arial"/>
          <w:b w:val="0"/>
          <w:bCs w:val="0"/>
          <w:szCs w:val="22"/>
        </w:rPr>
        <w:t>lating from R190 million to R211</w:t>
      </w:r>
      <w:r w:rsidR="00F96F00">
        <w:rPr>
          <w:rFonts w:cs="Arial"/>
          <w:b w:val="0"/>
          <w:bCs w:val="0"/>
          <w:szCs w:val="22"/>
        </w:rPr>
        <w:t xml:space="preserve"> million</w:t>
      </w:r>
      <w:r w:rsidRPr="00112F8B">
        <w:rPr>
          <w:rFonts w:cs="Arial"/>
          <w:b w:val="0"/>
          <w:bCs w:val="0"/>
          <w:szCs w:val="22"/>
        </w:rPr>
        <w:t xml:space="preserve">.  These increases can be attributed to the substantial increase in </w:t>
      </w:r>
      <w:r w:rsidR="00112F8B">
        <w:rPr>
          <w:rFonts w:cs="Arial"/>
          <w:b w:val="0"/>
          <w:bCs w:val="0"/>
          <w:szCs w:val="22"/>
        </w:rPr>
        <w:t>the cost</w:t>
      </w:r>
      <w:r w:rsidRPr="00112F8B">
        <w:rPr>
          <w:rFonts w:cs="Arial"/>
          <w:b w:val="0"/>
          <w:bCs w:val="0"/>
          <w:szCs w:val="22"/>
        </w:rPr>
        <w:t xml:space="preserve"> of bulk electricity from </w:t>
      </w:r>
      <w:r w:rsidR="00F96F00">
        <w:rPr>
          <w:rFonts w:cs="Arial"/>
          <w:b w:val="0"/>
          <w:bCs w:val="0"/>
          <w:szCs w:val="22"/>
        </w:rPr>
        <w:t>Eskom.</w:t>
      </w:r>
    </w:p>
    <w:p w:rsidR="00B50E2D" w:rsidRPr="00112F8B" w:rsidRDefault="00B50E2D" w:rsidP="00112F8B">
      <w:pPr>
        <w:pStyle w:val="Caption"/>
        <w:numPr>
          <w:ilvl w:val="0"/>
          <w:numId w:val="20"/>
        </w:numPr>
        <w:spacing w:after="0"/>
        <w:jc w:val="both"/>
        <w:rPr>
          <w:rFonts w:cs="Arial"/>
          <w:b w:val="0"/>
          <w:bCs w:val="0"/>
          <w:szCs w:val="22"/>
        </w:rPr>
      </w:pPr>
      <w:r w:rsidRPr="00112F8B">
        <w:rPr>
          <w:rFonts w:cs="Arial"/>
          <w:b w:val="0"/>
          <w:bCs w:val="0"/>
          <w:szCs w:val="22"/>
        </w:rPr>
        <w:t xml:space="preserve">Employee related costs and bulk purchases </w:t>
      </w:r>
      <w:r w:rsidR="00112F8B">
        <w:rPr>
          <w:rFonts w:cs="Arial"/>
          <w:b w:val="0"/>
          <w:bCs w:val="0"/>
          <w:szCs w:val="22"/>
        </w:rPr>
        <w:t xml:space="preserve">are the main </w:t>
      </w:r>
      <w:r w:rsidRPr="00112F8B">
        <w:rPr>
          <w:rFonts w:cs="Arial"/>
          <w:b w:val="0"/>
          <w:bCs w:val="0"/>
          <w:szCs w:val="22"/>
        </w:rPr>
        <w:t>cost drivers within the municipality and alternative operational gains and efficiencies will have to be identified to lesse</w:t>
      </w:r>
      <w:r w:rsidR="00112F8B">
        <w:rPr>
          <w:rFonts w:cs="Arial"/>
          <w:b w:val="0"/>
          <w:bCs w:val="0"/>
          <w:szCs w:val="22"/>
        </w:rPr>
        <w:t>n</w:t>
      </w:r>
      <w:r w:rsidRPr="00112F8B">
        <w:rPr>
          <w:rFonts w:cs="Arial"/>
          <w:b w:val="0"/>
          <w:bCs w:val="0"/>
          <w:szCs w:val="22"/>
        </w:rPr>
        <w:t xml:space="preserve"> the impact of </w:t>
      </w:r>
      <w:r w:rsidR="00112F8B">
        <w:rPr>
          <w:rFonts w:cs="Arial"/>
          <w:b w:val="0"/>
          <w:bCs w:val="0"/>
          <w:szCs w:val="22"/>
        </w:rPr>
        <w:t xml:space="preserve">wage and bulk </w:t>
      </w:r>
      <w:r w:rsidRPr="00112F8B">
        <w:rPr>
          <w:rFonts w:cs="Arial"/>
          <w:b w:val="0"/>
          <w:bCs w:val="0"/>
          <w:szCs w:val="22"/>
        </w:rPr>
        <w:t>tariff increases in future years.</w:t>
      </w:r>
    </w:p>
    <w:p w:rsidR="00626F0D" w:rsidRDefault="004F0644" w:rsidP="00B50E2D">
      <w:pPr>
        <w:pStyle w:val="Caption"/>
        <w:jc w:val="both"/>
      </w:pPr>
      <w:r w:rsidRPr="00B50E2D">
        <w:rPr>
          <w:rFonts w:cs="Arial"/>
          <w:b w:val="0"/>
          <w:sz w:val="24"/>
          <w:szCs w:val="24"/>
        </w:rPr>
        <w:br w:type="column"/>
      </w:r>
      <w:bookmarkStart w:id="71" w:name="_Toc287342463"/>
      <w:r w:rsidR="007103F0">
        <w:t xml:space="preserve">Table </w:t>
      </w:r>
      <w:r w:rsidR="00951EB5">
        <w:fldChar w:fldCharType="begin"/>
      </w:r>
      <w:r w:rsidR="009F6B4A">
        <w:instrText xml:space="preserve"> SEQ Table \* ARABIC </w:instrText>
      </w:r>
      <w:r w:rsidR="00951EB5">
        <w:fldChar w:fldCharType="separate"/>
      </w:r>
      <w:r w:rsidR="00FB5E13">
        <w:rPr>
          <w:noProof/>
        </w:rPr>
        <w:t>15</w:t>
      </w:r>
      <w:r w:rsidR="00951EB5">
        <w:rPr>
          <w:noProof/>
        </w:rPr>
        <w:fldChar w:fldCharType="end"/>
      </w:r>
      <w:r w:rsidR="007103F0">
        <w:t xml:space="preserve">  MBRR</w:t>
      </w:r>
      <w:r w:rsidR="00F04A92" w:rsidRPr="00456AEF">
        <w:t xml:space="preserve"> Table </w:t>
      </w:r>
      <w:r w:rsidR="00B85BA5" w:rsidRPr="00456AEF">
        <w:t>A5</w:t>
      </w:r>
      <w:r w:rsidR="00B374C8">
        <w:t xml:space="preserve"> - </w:t>
      </w:r>
      <w:r w:rsidR="00B85BA5" w:rsidRPr="00456AEF">
        <w:t>Budgeted Capital Expenditure by vote, standard classification and funding source</w:t>
      </w:r>
      <w:bookmarkEnd w:id="71"/>
    </w:p>
    <w:p w:rsidR="00F04A92" w:rsidRDefault="004454A3" w:rsidP="00B50E2D">
      <w:pPr>
        <w:pStyle w:val="Caption"/>
        <w:jc w:val="both"/>
      </w:pPr>
      <w:r w:rsidRPr="004454A3">
        <w:drawing>
          <wp:inline distT="0" distB="0" distL="0" distR="0">
            <wp:extent cx="5942965" cy="538162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0536" cy="5388481"/>
                    </a:xfrm>
                    <a:prstGeom prst="rect">
                      <a:avLst/>
                    </a:prstGeom>
                    <a:noFill/>
                    <a:ln>
                      <a:noFill/>
                    </a:ln>
                  </pic:spPr>
                </pic:pic>
              </a:graphicData>
            </a:graphic>
          </wp:inline>
        </w:drawing>
      </w:r>
    </w:p>
    <w:p w:rsidR="00112F8B" w:rsidRDefault="00112F8B" w:rsidP="00112F8B">
      <w:pPr>
        <w:spacing w:after="0" w:line="240" w:lineRule="auto"/>
        <w:jc w:val="both"/>
        <w:rPr>
          <w:rFonts w:ascii="Arial" w:hAnsi="Arial" w:cs="Arial"/>
          <w:b/>
        </w:rPr>
      </w:pPr>
      <w:r w:rsidRPr="00470799">
        <w:rPr>
          <w:rFonts w:ascii="Arial" w:hAnsi="Arial" w:cs="Arial"/>
          <w:b/>
        </w:rPr>
        <w:t xml:space="preserve">Explanatory notes </w:t>
      </w:r>
      <w:r>
        <w:rPr>
          <w:rFonts w:ascii="Arial" w:hAnsi="Arial" w:cs="Arial"/>
          <w:b/>
        </w:rPr>
        <w:t xml:space="preserve">to </w:t>
      </w:r>
      <w:r w:rsidRPr="00112F8B">
        <w:rPr>
          <w:rFonts w:ascii="Arial" w:hAnsi="Arial" w:cs="Arial"/>
          <w:b/>
        </w:rPr>
        <w:t>Table A5 - Budgeted Capital Expenditure by vote, standard classification and funding source</w:t>
      </w:r>
    </w:p>
    <w:p w:rsidR="00112F8B" w:rsidRPr="00112F8B" w:rsidRDefault="00112F8B" w:rsidP="00112F8B">
      <w:pPr>
        <w:spacing w:after="0" w:line="240" w:lineRule="auto"/>
        <w:jc w:val="both"/>
        <w:rPr>
          <w:rFonts w:ascii="Arial" w:hAnsi="Arial" w:cs="Arial"/>
          <w:b/>
        </w:rPr>
      </w:pPr>
    </w:p>
    <w:p w:rsidR="00FA3A69" w:rsidRDefault="00FA3A69" w:rsidP="00FA3A69">
      <w:pPr>
        <w:pStyle w:val="Default"/>
        <w:numPr>
          <w:ilvl w:val="0"/>
          <w:numId w:val="21"/>
        </w:numPr>
        <w:jc w:val="both"/>
        <w:rPr>
          <w:sz w:val="22"/>
          <w:szCs w:val="22"/>
        </w:rPr>
      </w:pPr>
      <w:r>
        <w:rPr>
          <w:sz w:val="22"/>
          <w:szCs w:val="22"/>
        </w:rPr>
        <w:t xml:space="preserve">Table A5 is a breakdown of the capital </w:t>
      </w:r>
      <w:proofErr w:type="spellStart"/>
      <w:r>
        <w:rPr>
          <w:sz w:val="22"/>
          <w:szCs w:val="22"/>
        </w:rPr>
        <w:t>programme</w:t>
      </w:r>
      <w:proofErr w:type="spellEnd"/>
      <w:r>
        <w:rPr>
          <w:sz w:val="22"/>
          <w:szCs w:val="22"/>
        </w:rPr>
        <w:t xml:space="preserv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w:t>
      </w:r>
    </w:p>
    <w:p w:rsidR="00FA3A69" w:rsidRPr="00FA3A69" w:rsidRDefault="00FA3A69" w:rsidP="00FA3A69">
      <w:pPr>
        <w:pStyle w:val="Default"/>
        <w:numPr>
          <w:ilvl w:val="0"/>
          <w:numId w:val="21"/>
        </w:numPr>
        <w:jc w:val="both"/>
        <w:rPr>
          <w:sz w:val="22"/>
          <w:szCs w:val="22"/>
        </w:rPr>
      </w:pPr>
      <w:r>
        <w:rPr>
          <w:sz w:val="22"/>
          <w:szCs w:val="22"/>
        </w:rPr>
        <w:t xml:space="preserve">The MFMA provides that a municipality may </w:t>
      </w:r>
      <w:r w:rsidRPr="003D607C">
        <w:rPr>
          <w:sz w:val="22"/>
          <w:szCs w:val="22"/>
        </w:rPr>
        <w:t xml:space="preserve">approve </w:t>
      </w:r>
      <w:r w:rsidRPr="003D607C">
        <w:rPr>
          <w:bCs/>
          <w:sz w:val="22"/>
          <w:szCs w:val="22"/>
        </w:rPr>
        <w:t xml:space="preserve">multi-year or single-year </w:t>
      </w:r>
      <w:r w:rsidRPr="003D607C">
        <w:rPr>
          <w:sz w:val="22"/>
          <w:szCs w:val="22"/>
        </w:rPr>
        <w:t xml:space="preserve">capital budget appropriations. </w:t>
      </w:r>
      <w:r w:rsidR="000E381F">
        <w:rPr>
          <w:sz w:val="22"/>
          <w:szCs w:val="22"/>
        </w:rPr>
        <w:t xml:space="preserve"> </w:t>
      </w:r>
      <w:r w:rsidR="00C97EB3">
        <w:rPr>
          <w:sz w:val="22"/>
          <w:szCs w:val="22"/>
        </w:rPr>
        <w:t>In relation to single</w:t>
      </w:r>
      <w:r w:rsidRPr="003D607C">
        <w:rPr>
          <w:sz w:val="22"/>
          <w:szCs w:val="22"/>
        </w:rPr>
        <w:t>-</w:t>
      </w:r>
      <w:r w:rsidR="00C97EB3">
        <w:rPr>
          <w:sz w:val="22"/>
          <w:szCs w:val="22"/>
        </w:rPr>
        <w:t xml:space="preserve">year appropriations, for </w:t>
      </w:r>
      <w:r w:rsidR="004454A3">
        <w:rPr>
          <w:sz w:val="22"/>
          <w:szCs w:val="22"/>
        </w:rPr>
        <w:t>2019/20 R45</w:t>
      </w:r>
      <w:r w:rsidR="00B970FB">
        <w:rPr>
          <w:sz w:val="22"/>
          <w:szCs w:val="22"/>
        </w:rPr>
        <w:t xml:space="preserve"> </w:t>
      </w:r>
      <w:r w:rsidR="00C97EB3">
        <w:rPr>
          <w:sz w:val="22"/>
          <w:szCs w:val="22"/>
        </w:rPr>
        <w:t>million</w:t>
      </w:r>
      <w:r w:rsidRPr="003D607C">
        <w:rPr>
          <w:sz w:val="22"/>
          <w:szCs w:val="22"/>
        </w:rPr>
        <w:t xml:space="preserve"> has</w:t>
      </w:r>
      <w:r>
        <w:rPr>
          <w:sz w:val="22"/>
          <w:szCs w:val="22"/>
        </w:rPr>
        <w:t xml:space="preserve"> been all</w:t>
      </w:r>
      <w:r w:rsidR="00E85BA3">
        <w:rPr>
          <w:sz w:val="22"/>
          <w:szCs w:val="22"/>
        </w:rPr>
        <w:t>ocated</w:t>
      </w:r>
      <w:r>
        <w:rPr>
          <w:sz w:val="22"/>
          <w:szCs w:val="22"/>
        </w:rPr>
        <w:t>, which total</w:t>
      </w:r>
      <w:r w:rsidR="00C97EB3">
        <w:rPr>
          <w:sz w:val="22"/>
          <w:szCs w:val="22"/>
        </w:rPr>
        <w:t>s 99</w:t>
      </w:r>
      <w:r>
        <w:rPr>
          <w:sz w:val="22"/>
          <w:szCs w:val="22"/>
        </w:rPr>
        <w:t xml:space="preserve"> per cent. </w:t>
      </w:r>
      <w:r w:rsidR="000E381F">
        <w:rPr>
          <w:sz w:val="22"/>
          <w:szCs w:val="22"/>
        </w:rPr>
        <w:t xml:space="preserve"> </w:t>
      </w:r>
      <w:r>
        <w:rPr>
          <w:sz w:val="22"/>
          <w:szCs w:val="22"/>
        </w:rPr>
        <w:t>T</w:t>
      </w:r>
      <w:r w:rsidR="004454A3">
        <w:rPr>
          <w:sz w:val="22"/>
          <w:szCs w:val="22"/>
        </w:rPr>
        <w:t>his allocation increase to R5</w:t>
      </w:r>
      <w:r w:rsidR="00B970FB">
        <w:rPr>
          <w:sz w:val="22"/>
          <w:szCs w:val="22"/>
        </w:rPr>
        <w:t>2</w:t>
      </w:r>
      <w:r w:rsidR="009415D5">
        <w:rPr>
          <w:sz w:val="22"/>
          <w:szCs w:val="22"/>
        </w:rPr>
        <w:t xml:space="preserve"> m</w:t>
      </w:r>
      <w:r w:rsidR="00962C25">
        <w:rPr>
          <w:sz w:val="22"/>
          <w:szCs w:val="22"/>
        </w:rPr>
        <w:t>illion in 20</w:t>
      </w:r>
      <w:r w:rsidR="00B970FB">
        <w:rPr>
          <w:sz w:val="22"/>
          <w:szCs w:val="22"/>
        </w:rPr>
        <w:t>19</w:t>
      </w:r>
      <w:r w:rsidR="00962C25">
        <w:rPr>
          <w:sz w:val="22"/>
          <w:szCs w:val="22"/>
        </w:rPr>
        <w:t>/20</w:t>
      </w:r>
      <w:r w:rsidR="009415D5">
        <w:rPr>
          <w:sz w:val="22"/>
          <w:szCs w:val="22"/>
        </w:rPr>
        <w:t>.</w:t>
      </w:r>
    </w:p>
    <w:p w:rsidR="00112F8B" w:rsidRPr="002E0E0C" w:rsidRDefault="00962C25" w:rsidP="00FA3A69">
      <w:pPr>
        <w:pStyle w:val="Default"/>
        <w:numPr>
          <w:ilvl w:val="0"/>
          <w:numId w:val="21"/>
        </w:numPr>
        <w:jc w:val="both"/>
        <w:rPr>
          <w:sz w:val="22"/>
          <w:szCs w:val="22"/>
        </w:rPr>
      </w:pPr>
      <w:r>
        <w:rPr>
          <w:sz w:val="22"/>
          <w:szCs w:val="22"/>
        </w:rPr>
        <w:t>The capital programs</w:t>
      </w:r>
      <w:r w:rsidR="009415D5">
        <w:rPr>
          <w:sz w:val="22"/>
          <w:szCs w:val="22"/>
        </w:rPr>
        <w:t xml:space="preserve"> are</w:t>
      </w:r>
      <w:r>
        <w:rPr>
          <w:sz w:val="22"/>
          <w:szCs w:val="22"/>
        </w:rPr>
        <w:t xml:space="preserve"> funded from</w:t>
      </w:r>
      <w:r w:rsidR="00FA3A69">
        <w:rPr>
          <w:sz w:val="22"/>
          <w:szCs w:val="22"/>
        </w:rPr>
        <w:t xml:space="preserve"> </w:t>
      </w:r>
      <w:r>
        <w:rPr>
          <w:sz w:val="22"/>
          <w:szCs w:val="22"/>
        </w:rPr>
        <w:t>national</w:t>
      </w:r>
      <w:r w:rsidR="00FA3A69">
        <w:rPr>
          <w:sz w:val="22"/>
          <w:szCs w:val="22"/>
        </w:rPr>
        <w:t xml:space="preserve"> gra</w:t>
      </w:r>
      <w:r w:rsidR="00C97EB3">
        <w:rPr>
          <w:sz w:val="22"/>
          <w:szCs w:val="22"/>
        </w:rPr>
        <w:t>nts and transfers</w:t>
      </w:r>
      <w:r w:rsidR="00FA3A69">
        <w:rPr>
          <w:sz w:val="22"/>
          <w:szCs w:val="22"/>
        </w:rPr>
        <w:t xml:space="preserve">, borrowing and internally generated funds from current year surpluses. </w:t>
      </w:r>
      <w:r w:rsidR="005801C9">
        <w:rPr>
          <w:sz w:val="22"/>
          <w:szCs w:val="22"/>
        </w:rPr>
        <w:t xml:space="preserve"> </w:t>
      </w:r>
      <w:r w:rsidR="00C97EB3">
        <w:rPr>
          <w:sz w:val="22"/>
          <w:szCs w:val="22"/>
        </w:rPr>
        <w:t xml:space="preserve">For </w:t>
      </w:r>
      <w:r w:rsidR="004454A3">
        <w:rPr>
          <w:sz w:val="22"/>
          <w:szCs w:val="22"/>
        </w:rPr>
        <w:t>2019/20</w:t>
      </w:r>
      <w:r w:rsidR="00FA3A69">
        <w:rPr>
          <w:sz w:val="22"/>
          <w:szCs w:val="22"/>
        </w:rPr>
        <w:t>, cap</w:t>
      </w:r>
      <w:r w:rsidR="009415D5">
        <w:rPr>
          <w:sz w:val="22"/>
          <w:szCs w:val="22"/>
        </w:rPr>
        <w:t xml:space="preserve">ital </w:t>
      </w:r>
      <w:r w:rsidR="00B970FB">
        <w:rPr>
          <w:sz w:val="22"/>
          <w:szCs w:val="22"/>
        </w:rPr>
        <w:t>transfers total</w:t>
      </w:r>
      <w:r w:rsidR="004454A3">
        <w:rPr>
          <w:sz w:val="22"/>
          <w:szCs w:val="22"/>
        </w:rPr>
        <w:t>s R44</w:t>
      </w:r>
      <w:r>
        <w:rPr>
          <w:sz w:val="22"/>
          <w:szCs w:val="22"/>
        </w:rPr>
        <w:t xml:space="preserve"> million and R7</w:t>
      </w:r>
      <w:r w:rsidR="00B970FB">
        <w:rPr>
          <w:sz w:val="22"/>
          <w:szCs w:val="22"/>
        </w:rPr>
        <w:t>00 000</w:t>
      </w:r>
      <w:r w:rsidR="009415D5">
        <w:rPr>
          <w:sz w:val="22"/>
          <w:szCs w:val="22"/>
        </w:rPr>
        <w:t xml:space="preserve"> is internally generated funds. There will be no borrowing</w:t>
      </w:r>
      <w:r w:rsidR="002E0E0C">
        <w:rPr>
          <w:sz w:val="22"/>
          <w:szCs w:val="22"/>
        </w:rPr>
        <w:t>s</w:t>
      </w:r>
      <w:r w:rsidR="009415D5">
        <w:rPr>
          <w:sz w:val="22"/>
          <w:szCs w:val="22"/>
        </w:rPr>
        <w:t xml:space="preserve"> in the </w:t>
      </w:r>
      <w:r w:rsidR="004454A3">
        <w:rPr>
          <w:sz w:val="22"/>
          <w:szCs w:val="22"/>
        </w:rPr>
        <w:t>2019/20</w:t>
      </w:r>
      <w:r w:rsidR="009415D5">
        <w:rPr>
          <w:sz w:val="22"/>
          <w:szCs w:val="22"/>
        </w:rPr>
        <w:t xml:space="preserve"> financial year.</w:t>
      </w:r>
    </w:p>
    <w:p w:rsidR="00112F8B" w:rsidRDefault="00112F8B" w:rsidP="00626F0D">
      <w:pPr>
        <w:pStyle w:val="Caption"/>
        <w:jc w:val="both"/>
        <w:rPr>
          <w:rFonts w:cs="Arial"/>
          <w:b w:val="0"/>
        </w:rPr>
      </w:pPr>
    </w:p>
    <w:p w:rsidR="00A651BC" w:rsidRDefault="00456AEF" w:rsidP="00626F0D">
      <w:pPr>
        <w:pStyle w:val="Caption"/>
        <w:jc w:val="both"/>
      </w:pPr>
      <w:bookmarkStart w:id="72" w:name="_Toc287342464"/>
      <w:r>
        <w:t xml:space="preserve">Table </w:t>
      </w:r>
      <w:r w:rsidR="00951EB5">
        <w:fldChar w:fldCharType="begin"/>
      </w:r>
      <w:r w:rsidR="009F6B4A">
        <w:instrText xml:space="preserve"> SEQ Table \* ARABIC </w:instrText>
      </w:r>
      <w:r w:rsidR="00951EB5">
        <w:fldChar w:fldCharType="separate"/>
      </w:r>
      <w:r w:rsidR="00FB5E13">
        <w:rPr>
          <w:noProof/>
        </w:rPr>
        <w:t>16</w:t>
      </w:r>
      <w:r w:rsidR="00951EB5">
        <w:fldChar w:fldCharType="end"/>
      </w:r>
      <w:r>
        <w:t xml:space="preserve">  MBRR </w:t>
      </w:r>
      <w:r w:rsidR="00B85BA5" w:rsidRPr="00456AEF">
        <w:t>Table A6</w:t>
      </w:r>
      <w:r w:rsidR="00B374C8">
        <w:t xml:space="preserve"> -</w:t>
      </w:r>
      <w:r w:rsidR="008443CF" w:rsidRPr="00456AEF">
        <w:t xml:space="preserve"> </w:t>
      </w:r>
      <w:r w:rsidR="00B85BA5" w:rsidRPr="00456AEF">
        <w:t>Budgeted Financial Position</w:t>
      </w:r>
      <w:bookmarkEnd w:id="72"/>
    </w:p>
    <w:p w:rsidR="00B85BA5" w:rsidRPr="00353F34" w:rsidRDefault="00A10411" w:rsidP="00456AEF">
      <w:pPr>
        <w:pStyle w:val="Caption"/>
        <w:rPr>
          <w:rFonts w:cs="Arial"/>
          <w:color w:val="E36C0A" w:themeColor="accent6" w:themeShade="BF"/>
          <w:sz w:val="24"/>
          <w:szCs w:val="24"/>
        </w:rPr>
      </w:pPr>
      <w:r w:rsidRPr="00A10411">
        <w:rPr>
          <w:noProof/>
          <w:lang w:val="en-ZA" w:eastAsia="en-ZA"/>
        </w:rPr>
        <w:drawing>
          <wp:inline distT="0" distB="0" distL="0" distR="0">
            <wp:extent cx="5939624" cy="7369831"/>
            <wp:effectExtent l="0" t="0" r="444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5949" cy="7390087"/>
                    </a:xfrm>
                    <a:prstGeom prst="rect">
                      <a:avLst/>
                    </a:prstGeom>
                    <a:noFill/>
                    <a:ln>
                      <a:noFill/>
                    </a:ln>
                  </pic:spPr>
                </pic:pic>
              </a:graphicData>
            </a:graphic>
          </wp:inline>
        </w:drawing>
      </w:r>
    </w:p>
    <w:p w:rsidR="00112F8B" w:rsidRPr="004454A3" w:rsidRDefault="00112F8B" w:rsidP="004454A3">
      <w:pPr>
        <w:rPr>
          <w:rFonts w:ascii="Arial" w:hAnsi="Arial" w:cs="Arial"/>
          <w:b/>
          <w:bCs/>
          <w:sz w:val="24"/>
          <w:szCs w:val="24"/>
        </w:rPr>
      </w:pPr>
      <w:r w:rsidRPr="00470799">
        <w:rPr>
          <w:rFonts w:ascii="Arial" w:hAnsi="Arial" w:cs="Arial"/>
          <w:b/>
        </w:rPr>
        <w:t xml:space="preserve">Explanatory notes </w:t>
      </w:r>
      <w:r>
        <w:rPr>
          <w:rFonts w:ascii="Arial" w:hAnsi="Arial" w:cs="Arial"/>
          <w:b/>
        </w:rPr>
        <w:t xml:space="preserve">to </w:t>
      </w:r>
      <w:r w:rsidRPr="00112F8B">
        <w:rPr>
          <w:rFonts w:ascii="Arial" w:hAnsi="Arial" w:cs="Arial"/>
          <w:b/>
        </w:rPr>
        <w:t>Table A6 - Budgeted Financial Position</w:t>
      </w:r>
    </w:p>
    <w:p w:rsidR="00112F8B" w:rsidRPr="00112F8B" w:rsidRDefault="00112F8B" w:rsidP="00112F8B">
      <w:pPr>
        <w:spacing w:after="0" w:line="240" w:lineRule="auto"/>
        <w:jc w:val="both"/>
        <w:rPr>
          <w:rFonts w:ascii="Arial" w:hAnsi="Arial" w:cs="Arial"/>
          <w:b/>
        </w:rPr>
      </w:pPr>
    </w:p>
    <w:p w:rsidR="001E74D2" w:rsidRDefault="00FA3A69" w:rsidP="001E74D2">
      <w:pPr>
        <w:pStyle w:val="Default"/>
        <w:numPr>
          <w:ilvl w:val="0"/>
          <w:numId w:val="30"/>
        </w:numPr>
        <w:ind w:left="360"/>
        <w:jc w:val="both"/>
        <w:rPr>
          <w:sz w:val="22"/>
          <w:szCs w:val="22"/>
        </w:rPr>
      </w:pPr>
      <w:r w:rsidRPr="00FA3A69">
        <w:rPr>
          <w:sz w:val="22"/>
          <w:szCs w:val="22"/>
        </w:rPr>
        <w:t>Table</w:t>
      </w:r>
      <w:r>
        <w:rPr>
          <w:sz w:val="22"/>
          <w:szCs w:val="22"/>
        </w:rPr>
        <w:t xml:space="preserve"> A6 is consistent with international standards of good financial management practice, and improves understandability for </w:t>
      </w:r>
      <w:r w:rsidR="003D5ED1">
        <w:rPr>
          <w:sz w:val="22"/>
          <w:szCs w:val="22"/>
        </w:rPr>
        <w:t>councilors</w:t>
      </w:r>
      <w:r>
        <w:rPr>
          <w:sz w:val="22"/>
          <w:szCs w:val="22"/>
        </w:rPr>
        <w:t xml:space="preserve"> and management of the impact of the budget on the statement of financial position (balance sheet).</w:t>
      </w:r>
    </w:p>
    <w:p w:rsidR="001E74D2" w:rsidRDefault="00FA3A69" w:rsidP="001E74D2">
      <w:pPr>
        <w:pStyle w:val="Default"/>
        <w:numPr>
          <w:ilvl w:val="0"/>
          <w:numId w:val="30"/>
        </w:numPr>
        <w:ind w:left="360"/>
        <w:jc w:val="both"/>
        <w:rPr>
          <w:sz w:val="22"/>
          <w:szCs w:val="22"/>
        </w:rPr>
      </w:pPr>
      <w:r w:rsidRPr="001E74D2">
        <w:rPr>
          <w:sz w:val="22"/>
          <w:szCs w:val="22"/>
        </w:rPr>
        <w:t xml:space="preserve">This format of presenting the statement of financial position is aligned to GRAP1, which is generally aligned to the international version which presents Assets less Liabilities as “accounting” Community Wealth. </w:t>
      </w:r>
      <w:r w:rsidR="000E381F">
        <w:rPr>
          <w:sz w:val="22"/>
          <w:szCs w:val="22"/>
        </w:rPr>
        <w:t xml:space="preserve"> </w:t>
      </w:r>
      <w:r w:rsidRPr="001E74D2">
        <w:rPr>
          <w:sz w:val="22"/>
          <w:szCs w:val="22"/>
        </w:rPr>
        <w:t>The order of items within each group illustrates items in order of liquidity; i.e. assets readily converted to cash, or liabilities immediately required to be met from cash, appear first.</w:t>
      </w:r>
    </w:p>
    <w:p w:rsidR="00FA3A69" w:rsidRPr="001E74D2" w:rsidRDefault="00FA3A69" w:rsidP="001E74D2">
      <w:pPr>
        <w:pStyle w:val="Default"/>
        <w:numPr>
          <w:ilvl w:val="0"/>
          <w:numId w:val="30"/>
        </w:numPr>
        <w:ind w:left="360"/>
        <w:jc w:val="both"/>
        <w:rPr>
          <w:sz w:val="22"/>
          <w:szCs w:val="22"/>
        </w:rPr>
      </w:pPr>
      <w:r w:rsidRPr="001E74D2">
        <w:rPr>
          <w:sz w:val="22"/>
          <w:szCs w:val="22"/>
        </w:rPr>
        <w:t xml:space="preserve">Table </w:t>
      </w:r>
      <w:r w:rsidR="000E381F">
        <w:rPr>
          <w:sz w:val="22"/>
          <w:szCs w:val="22"/>
        </w:rPr>
        <w:t>66</w:t>
      </w:r>
      <w:r w:rsidRPr="001E74D2">
        <w:rPr>
          <w:sz w:val="22"/>
          <w:szCs w:val="22"/>
        </w:rPr>
        <w:t xml:space="preserve"> is supported by an extensive table of notes</w:t>
      </w:r>
      <w:r w:rsidR="00C97EB3">
        <w:rPr>
          <w:sz w:val="22"/>
          <w:szCs w:val="22"/>
        </w:rPr>
        <w:t xml:space="preserve"> (SA3</w:t>
      </w:r>
      <w:r w:rsidRPr="001E74D2">
        <w:rPr>
          <w:sz w:val="22"/>
          <w:szCs w:val="22"/>
        </w:rPr>
        <w:t>) providing a detailed analysis of the major components of a number of items, including:</w:t>
      </w:r>
    </w:p>
    <w:p w:rsidR="00FA3A69" w:rsidRPr="00B94E79" w:rsidRDefault="00FA3A69" w:rsidP="00FA3A69">
      <w:pPr>
        <w:pStyle w:val="ListParagraph"/>
        <w:numPr>
          <w:ilvl w:val="0"/>
          <w:numId w:val="28"/>
        </w:numPr>
        <w:spacing w:after="0" w:line="240" w:lineRule="auto"/>
        <w:jc w:val="both"/>
        <w:rPr>
          <w:rFonts w:ascii="Arial" w:eastAsia="Times New Roman" w:hAnsi="Arial" w:cs="Arial"/>
          <w:lang w:val="en-GB"/>
        </w:rPr>
      </w:pPr>
      <w:r w:rsidRPr="00B94E79">
        <w:rPr>
          <w:rFonts w:ascii="Arial" w:eastAsia="Times New Roman" w:hAnsi="Arial" w:cs="Arial"/>
          <w:lang w:val="en-GB"/>
        </w:rPr>
        <w:t>Call investments deposits;</w:t>
      </w:r>
    </w:p>
    <w:p w:rsidR="00FA3A69" w:rsidRPr="00B94E79" w:rsidRDefault="00FA3A69" w:rsidP="00FA3A69">
      <w:pPr>
        <w:pStyle w:val="ListParagraph"/>
        <w:numPr>
          <w:ilvl w:val="0"/>
          <w:numId w:val="29"/>
        </w:numPr>
        <w:spacing w:after="0" w:line="240" w:lineRule="auto"/>
        <w:jc w:val="both"/>
        <w:rPr>
          <w:rFonts w:ascii="Arial" w:eastAsia="Times New Roman" w:hAnsi="Arial" w:cs="Arial"/>
          <w:lang w:val="en-GB"/>
        </w:rPr>
      </w:pPr>
      <w:r w:rsidRPr="00B94E79">
        <w:rPr>
          <w:rFonts w:ascii="Arial" w:eastAsia="Times New Roman" w:hAnsi="Arial" w:cs="Arial"/>
          <w:lang w:val="en-GB"/>
        </w:rPr>
        <w:t>Consumer debtors;</w:t>
      </w:r>
    </w:p>
    <w:p w:rsidR="00FA3A69" w:rsidRPr="00B94E79" w:rsidRDefault="00FA3A69" w:rsidP="00FA3A69">
      <w:pPr>
        <w:pStyle w:val="ListParagraph"/>
        <w:numPr>
          <w:ilvl w:val="0"/>
          <w:numId w:val="29"/>
        </w:numPr>
        <w:spacing w:after="0" w:line="240" w:lineRule="auto"/>
        <w:jc w:val="both"/>
        <w:rPr>
          <w:rFonts w:ascii="Arial" w:eastAsia="Times New Roman" w:hAnsi="Arial" w:cs="Arial"/>
          <w:lang w:val="en-GB"/>
        </w:rPr>
      </w:pPr>
      <w:r w:rsidRPr="00B94E79">
        <w:rPr>
          <w:rFonts w:ascii="Arial" w:eastAsia="Times New Roman" w:hAnsi="Arial" w:cs="Arial"/>
          <w:lang w:val="en-GB"/>
        </w:rPr>
        <w:t>Property, plant and equipment;</w:t>
      </w:r>
    </w:p>
    <w:p w:rsidR="00FA3A69" w:rsidRPr="00B94E79" w:rsidRDefault="00FA3A69" w:rsidP="00FA3A69">
      <w:pPr>
        <w:pStyle w:val="ListParagraph"/>
        <w:numPr>
          <w:ilvl w:val="0"/>
          <w:numId w:val="29"/>
        </w:numPr>
        <w:spacing w:after="0" w:line="240" w:lineRule="auto"/>
        <w:jc w:val="both"/>
        <w:rPr>
          <w:rFonts w:ascii="Arial" w:eastAsia="Times New Roman" w:hAnsi="Arial" w:cs="Arial"/>
          <w:lang w:val="en-GB"/>
        </w:rPr>
      </w:pPr>
      <w:r w:rsidRPr="00B94E79">
        <w:rPr>
          <w:rFonts w:ascii="Arial" w:eastAsia="Times New Roman" w:hAnsi="Arial" w:cs="Arial"/>
          <w:lang w:val="en-GB"/>
        </w:rPr>
        <w:t>Trade and other payables;</w:t>
      </w:r>
    </w:p>
    <w:p w:rsidR="00FA3A69" w:rsidRPr="00B94E79" w:rsidRDefault="00FA3A69" w:rsidP="00FA3A69">
      <w:pPr>
        <w:pStyle w:val="ListParagraph"/>
        <w:numPr>
          <w:ilvl w:val="0"/>
          <w:numId w:val="29"/>
        </w:numPr>
        <w:spacing w:after="0" w:line="240" w:lineRule="auto"/>
        <w:jc w:val="both"/>
        <w:rPr>
          <w:rFonts w:ascii="Arial" w:eastAsia="Times New Roman" w:hAnsi="Arial" w:cs="Arial"/>
          <w:lang w:val="en-GB"/>
        </w:rPr>
      </w:pPr>
      <w:r w:rsidRPr="00B94E79">
        <w:rPr>
          <w:rFonts w:ascii="Arial" w:eastAsia="Times New Roman" w:hAnsi="Arial" w:cs="Arial"/>
          <w:lang w:val="en-GB"/>
        </w:rPr>
        <w:t xml:space="preserve">Provisions </w:t>
      </w:r>
      <w:proofErr w:type="spellStart"/>
      <w:r w:rsidRPr="00B94E79">
        <w:rPr>
          <w:rFonts w:ascii="Arial" w:eastAsia="Times New Roman" w:hAnsi="Arial" w:cs="Arial"/>
          <w:lang w:val="en-GB"/>
        </w:rPr>
        <w:t>non current</w:t>
      </w:r>
      <w:proofErr w:type="spellEnd"/>
      <w:r w:rsidRPr="00B94E79">
        <w:rPr>
          <w:rFonts w:ascii="Arial" w:eastAsia="Times New Roman" w:hAnsi="Arial" w:cs="Arial"/>
          <w:lang w:val="en-GB"/>
        </w:rPr>
        <w:t>;</w:t>
      </w:r>
    </w:p>
    <w:p w:rsidR="00FA3A69" w:rsidRPr="00B94E79" w:rsidRDefault="00FA3A69" w:rsidP="00FA3A69">
      <w:pPr>
        <w:pStyle w:val="ListParagraph"/>
        <w:numPr>
          <w:ilvl w:val="0"/>
          <w:numId w:val="29"/>
        </w:numPr>
        <w:spacing w:after="0" w:line="240" w:lineRule="auto"/>
        <w:jc w:val="both"/>
        <w:rPr>
          <w:rFonts w:ascii="Arial" w:eastAsia="Times New Roman" w:hAnsi="Arial" w:cs="Arial"/>
          <w:lang w:val="en-GB"/>
        </w:rPr>
      </w:pPr>
      <w:r w:rsidRPr="00B94E79">
        <w:rPr>
          <w:rFonts w:ascii="Arial" w:eastAsia="Times New Roman" w:hAnsi="Arial" w:cs="Arial"/>
          <w:lang w:val="en-GB"/>
        </w:rPr>
        <w:t xml:space="preserve">Changes in net assets; and </w:t>
      </w:r>
    </w:p>
    <w:p w:rsidR="00FA3A69" w:rsidRPr="00B94E79" w:rsidRDefault="00FA3A69" w:rsidP="00FA3A69">
      <w:pPr>
        <w:pStyle w:val="ListParagraph"/>
        <w:numPr>
          <w:ilvl w:val="0"/>
          <w:numId w:val="29"/>
        </w:numPr>
        <w:spacing w:after="0" w:line="240" w:lineRule="auto"/>
        <w:jc w:val="both"/>
        <w:rPr>
          <w:rFonts w:ascii="Arial" w:eastAsia="Times New Roman" w:hAnsi="Arial" w:cs="Arial"/>
          <w:lang w:val="en-GB"/>
        </w:rPr>
      </w:pPr>
      <w:r w:rsidRPr="00B94E79">
        <w:rPr>
          <w:rFonts w:ascii="Arial" w:eastAsia="Times New Roman" w:hAnsi="Arial" w:cs="Arial"/>
          <w:lang w:val="en-GB"/>
        </w:rPr>
        <w:t xml:space="preserve">Reserves </w:t>
      </w:r>
    </w:p>
    <w:p w:rsidR="001E74D2" w:rsidRDefault="00FA3A69" w:rsidP="001E74D2">
      <w:pPr>
        <w:pStyle w:val="Default"/>
        <w:numPr>
          <w:ilvl w:val="0"/>
          <w:numId w:val="30"/>
        </w:numPr>
        <w:ind w:left="360"/>
        <w:jc w:val="both"/>
        <w:rPr>
          <w:sz w:val="22"/>
          <w:szCs w:val="22"/>
        </w:rPr>
      </w:pPr>
      <w:r w:rsidRPr="001E74D2">
        <w:rPr>
          <w:sz w:val="22"/>
          <w:szCs w:val="22"/>
        </w:rPr>
        <w:t xml:space="preserve">The municipal equivalent of equity is Community Wealth/Equity. </w:t>
      </w:r>
      <w:r w:rsidR="000E381F">
        <w:rPr>
          <w:sz w:val="22"/>
          <w:szCs w:val="22"/>
        </w:rPr>
        <w:t xml:space="preserve"> </w:t>
      </w:r>
      <w:r w:rsidRPr="001E74D2">
        <w:rPr>
          <w:sz w:val="22"/>
          <w:szCs w:val="22"/>
        </w:rPr>
        <w:t>The justification is that ownership and the net assets of the municipality belong to the community.</w:t>
      </w:r>
    </w:p>
    <w:p w:rsidR="00FA3A69" w:rsidRPr="001E74D2" w:rsidRDefault="00FA3A69" w:rsidP="001E74D2">
      <w:pPr>
        <w:pStyle w:val="Default"/>
        <w:numPr>
          <w:ilvl w:val="0"/>
          <w:numId w:val="30"/>
        </w:numPr>
        <w:ind w:left="360"/>
        <w:jc w:val="both"/>
        <w:rPr>
          <w:sz w:val="22"/>
          <w:szCs w:val="22"/>
        </w:rPr>
      </w:pPr>
      <w:r w:rsidRPr="001E74D2">
        <w:rPr>
          <w:sz w:val="22"/>
          <w:szCs w:val="22"/>
        </w:rPr>
        <w:t xml:space="preserve">Any movement on the </w:t>
      </w:r>
      <w:r w:rsidR="003D5ED1">
        <w:rPr>
          <w:sz w:val="22"/>
          <w:szCs w:val="22"/>
        </w:rPr>
        <w:t>Budgeted</w:t>
      </w:r>
      <w:r w:rsidRPr="001E74D2">
        <w:rPr>
          <w:sz w:val="22"/>
          <w:szCs w:val="22"/>
        </w:rPr>
        <w:t xml:space="preserve"> </w:t>
      </w:r>
      <w:r w:rsidR="003D5ED1">
        <w:rPr>
          <w:sz w:val="22"/>
          <w:szCs w:val="22"/>
        </w:rPr>
        <w:t>F</w:t>
      </w:r>
      <w:r w:rsidRPr="001E74D2">
        <w:rPr>
          <w:sz w:val="22"/>
          <w:szCs w:val="22"/>
        </w:rPr>
        <w:t xml:space="preserve">inancial </w:t>
      </w:r>
      <w:r w:rsidR="003D5ED1">
        <w:rPr>
          <w:sz w:val="22"/>
          <w:szCs w:val="22"/>
        </w:rPr>
        <w:t>P</w:t>
      </w:r>
      <w:r w:rsidRPr="001E74D2">
        <w:rPr>
          <w:sz w:val="22"/>
          <w:szCs w:val="22"/>
        </w:rPr>
        <w:t xml:space="preserve">erformance or the </w:t>
      </w:r>
      <w:r w:rsidR="003D5ED1">
        <w:rPr>
          <w:sz w:val="22"/>
          <w:szCs w:val="22"/>
        </w:rPr>
        <w:t>C</w:t>
      </w:r>
      <w:r w:rsidRPr="001E74D2">
        <w:rPr>
          <w:sz w:val="22"/>
          <w:szCs w:val="22"/>
        </w:rPr>
        <w:t>apital</w:t>
      </w:r>
      <w:r w:rsidR="003D5ED1">
        <w:rPr>
          <w:sz w:val="22"/>
          <w:szCs w:val="22"/>
        </w:rPr>
        <w:t xml:space="preserve"> B</w:t>
      </w:r>
      <w:r w:rsidRPr="001E74D2">
        <w:rPr>
          <w:sz w:val="22"/>
          <w:szCs w:val="22"/>
        </w:rPr>
        <w:t xml:space="preserve">udget will inevitably impact on the </w:t>
      </w:r>
      <w:r w:rsidR="003D5ED1">
        <w:rPr>
          <w:sz w:val="22"/>
          <w:szCs w:val="22"/>
        </w:rPr>
        <w:t>Budgeted</w:t>
      </w:r>
      <w:r w:rsidRPr="001E74D2">
        <w:rPr>
          <w:sz w:val="22"/>
          <w:szCs w:val="22"/>
        </w:rPr>
        <w:t xml:space="preserve"> </w:t>
      </w:r>
      <w:r w:rsidR="003D5ED1">
        <w:rPr>
          <w:sz w:val="22"/>
          <w:szCs w:val="22"/>
        </w:rPr>
        <w:t>F</w:t>
      </w:r>
      <w:r w:rsidRPr="001E74D2">
        <w:rPr>
          <w:sz w:val="22"/>
          <w:szCs w:val="22"/>
        </w:rPr>
        <w:t xml:space="preserve">inancial </w:t>
      </w:r>
      <w:r w:rsidR="003D5ED1">
        <w:rPr>
          <w:sz w:val="22"/>
          <w:szCs w:val="22"/>
        </w:rPr>
        <w:t>P</w:t>
      </w:r>
      <w:r w:rsidRPr="001E74D2">
        <w:rPr>
          <w:sz w:val="22"/>
          <w:szCs w:val="22"/>
        </w:rPr>
        <w:t xml:space="preserve">osition. </w:t>
      </w:r>
      <w:r w:rsidR="003D5ED1">
        <w:rPr>
          <w:sz w:val="22"/>
          <w:szCs w:val="22"/>
        </w:rPr>
        <w:t xml:space="preserve"> </w:t>
      </w:r>
      <w:r w:rsidRPr="001E74D2">
        <w:rPr>
          <w:sz w:val="22"/>
          <w:szCs w:val="22"/>
        </w:rPr>
        <w:t xml:space="preserve">As an example, the collection rate assumption will impact on the cash position of the municipality and subsequently inform the level of cash and cash equivalents at year end. </w:t>
      </w:r>
      <w:r w:rsidR="003D5ED1">
        <w:rPr>
          <w:sz w:val="22"/>
          <w:szCs w:val="22"/>
        </w:rPr>
        <w:t xml:space="preserve"> </w:t>
      </w:r>
      <w:r w:rsidRPr="001E74D2">
        <w:rPr>
          <w:sz w:val="22"/>
          <w:szCs w:val="22"/>
        </w:rPr>
        <w:t xml:space="preserve">Similarly, the collection rate assumption should inform the budget appropriation for debt impairment which in turn would impact on the provision </w:t>
      </w:r>
      <w:r w:rsidR="003D5ED1">
        <w:rPr>
          <w:sz w:val="22"/>
          <w:szCs w:val="22"/>
        </w:rPr>
        <w:t>for</w:t>
      </w:r>
      <w:r w:rsidRPr="001E74D2">
        <w:rPr>
          <w:sz w:val="22"/>
          <w:szCs w:val="22"/>
        </w:rPr>
        <w:t xml:space="preserve"> bad debt. </w:t>
      </w:r>
      <w:r w:rsidR="003D5ED1">
        <w:rPr>
          <w:sz w:val="22"/>
          <w:szCs w:val="22"/>
        </w:rPr>
        <w:t xml:space="preserve"> </w:t>
      </w:r>
      <w:r w:rsidRPr="001E74D2">
        <w:rPr>
          <w:sz w:val="22"/>
          <w:szCs w:val="22"/>
        </w:rPr>
        <w:t xml:space="preserve">These budget and planning assumptions form a critical link in determining the applicability and relevance of the budget as well as the determination of ratios and financial indicators. </w:t>
      </w:r>
      <w:r w:rsidR="003D5ED1">
        <w:rPr>
          <w:sz w:val="22"/>
          <w:szCs w:val="22"/>
        </w:rPr>
        <w:t xml:space="preserve"> </w:t>
      </w:r>
      <w:r w:rsidRPr="001E74D2">
        <w:rPr>
          <w:sz w:val="22"/>
          <w:szCs w:val="22"/>
        </w:rPr>
        <w:t>In addition the funding compliance assessment is informed directly by forecasting the statement of financial position.</w:t>
      </w:r>
    </w:p>
    <w:p w:rsidR="00112F8B" w:rsidRDefault="00112F8B" w:rsidP="00FA3A69">
      <w:pPr>
        <w:pStyle w:val="Caption"/>
        <w:jc w:val="both"/>
        <w:rPr>
          <w:rFonts w:cs="Arial"/>
          <w:b w:val="0"/>
        </w:rPr>
      </w:pPr>
    </w:p>
    <w:p w:rsidR="00B85BA5" w:rsidRPr="00D83EF0" w:rsidRDefault="004F0644" w:rsidP="00D83EF0">
      <w:pPr>
        <w:pStyle w:val="Caption"/>
      </w:pPr>
      <w:r>
        <w:rPr>
          <w:rFonts w:cs="Arial"/>
          <w:sz w:val="24"/>
          <w:szCs w:val="24"/>
        </w:rPr>
        <w:br w:type="column"/>
      </w:r>
      <w:bookmarkStart w:id="73" w:name="_Toc287342465"/>
      <w:r w:rsidR="00D83EF0">
        <w:t xml:space="preserve">Table </w:t>
      </w:r>
      <w:r w:rsidR="00951EB5">
        <w:fldChar w:fldCharType="begin"/>
      </w:r>
      <w:r w:rsidR="009F6B4A">
        <w:instrText xml:space="preserve"> SEQ Table \* ARABIC </w:instrText>
      </w:r>
      <w:r w:rsidR="00951EB5">
        <w:fldChar w:fldCharType="separate"/>
      </w:r>
      <w:r w:rsidR="00FB5E13">
        <w:rPr>
          <w:noProof/>
        </w:rPr>
        <w:t>17</w:t>
      </w:r>
      <w:r w:rsidR="00951EB5">
        <w:rPr>
          <w:noProof/>
        </w:rPr>
        <w:fldChar w:fldCharType="end"/>
      </w:r>
      <w:r w:rsidR="00B374C8">
        <w:rPr>
          <w:noProof/>
        </w:rPr>
        <w:t xml:space="preserve"> </w:t>
      </w:r>
      <w:r w:rsidR="0021394A">
        <w:rPr>
          <w:noProof/>
        </w:rPr>
        <w:t xml:space="preserve"> </w:t>
      </w:r>
      <w:r w:rsidR="00D83EF0">
        <w:t>MBRR</w:t>
      </w:r>
      <w:r w:rsidR="00E8471C" w:rsidRPr="00D83EF0">
        <w:t xml:space="preserve"> </w:t>
      </w:r>
      <w:r w:rsidR="00B85BA5" w:rsidRPr="00D83EF0">
        <w:t>Table A7</w:t>
      </w:r>
      <w:r w:rsidR="00B374C8">
        <w:t xml:space="preserve"> - </w:t>
      </w:r>
      <w:r w:rsidR="00B85BA5" w:rsidRPr="00D83EF0">
        <w:t>Budgeted Cash Flow Statement</w:t>
      </w:r>
      <w:bookmarkEnd w:id="73"/>
    </w:p>
    <w:p w:rsidR="00F9058D" w:rsidRPr="00353F34" w:rsidRDefault="00A10411" w:rsidP="00E8471C">
      <w:pPr>
        <w:spacing w:after="0" w:line="240" w:lineRule="auto"/>
        <w:rPr>
          <w:rFonts w:ascii="Arial" w:hAnsi="Arial" w:cs="Arial"/>
          <w:color w:val="E36C0A" w:themeColor="accent6" w:themeShade="BF"/>
          <w:sz w:val="24"/>
          <w:szCs w:val="24"/>
        </w:rPr>
      </w:pPr>
      <w:r w:rsidRPr="00A10411">
        <w:rPr>
          <w:noProof/>
          <w:lang w:val="en-ZA" w:eastAsia="en-ZA"/>
        </w:rPr>
        <w:drawing>
          <wp:inline distT="0" distB="0" distL="0" distR="0">
            <wp:extent cx="6114415" cy="4886325"/>
            <wp:effectExtent l="0" t="0" r="63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8377" cy="4889491"/>
                    </a:xfrm>
                    <a:prstGeom prst="rect">
                      <a:avLst/>
                    </a:prstGeom>
                    <a:noFill/>
                    <a:ln>
                      <a:noFill/>
                    </a:ln>
                  </pic:spPr>
                </pic:pic>
              </a:graphicData>
            </a:graphic>
          </wp:inline>
        </w:drawing>
      </w:r>
    </w:p>
    <w:p w:rsidR="00E56FBA" w:rsidRDefault="00E56FBA" w:rsidP="008F2F44">
      <w:pPr>
        <w:rPr>
          <w:rFonts w:ascii="Arial" w:hAnsi="Arial" w:cs="Arial"/>
          <w:b/>
        </w:rPr>
      </w:pPr>
    </w:p>
    <w:p w:rsidR="00112F8B" w:rsidRPr="008F2F44" w:rsidRDefault="00112F8B" w:rsidP="008F2F44">
      <w:pPr>
        <w:rPr>
          <w:rFonts w:ascii="Arial" w:hAnsi="Arial" w:cs="Arial"/>
          <w:b/>
          <w:bCs/>
          <w:sz w:val="24"/>
          <w:szCs w:val="24"/>
        </w:rPr>
      </w:pPr>
      <w:r w:rsidRPr="00470799">
        <w:rPr>
          <w:rFonts w:ascii="Arial" w:hAnsi="Arial" w:cs="Arial"/>
          <w:b/>
        </w:rPr>
        <w:t xml:space="preserve">Explanatory notes </w:t>
      </w:r>
      <w:r>
        <w:rPr>
          <w:rFonts w:ascii="Arial" w:hAnsi="Arial" w:cs="Arial"/>
          <w:b/>
        </w:rPr>
        <w:t xml:space="preserve">to </w:t>
      </w:r>
      <w:r w:rsidRPr="00112F8B">
        <w:rPr>
          <w:rFonts w:ascii="Arial" w:hAnsi="Arial" w:cs="Arial"/>
          <w:b/>
        </w:rPr>
        <w:t>Table A7 - Budgeted Cash Flow Statement</w:t>
      </w:r>
    </w:p>
    <w:p w:rsidR="00112F8B" w:rsidRDefault="00112F8B" w:rsidP="00112F8B">
      <w:pPr>
        <w:spacing w:after="0" w:line="240" w:lineRule="auto"/>
        <w:jc w:val="both"/>
        <w:rPr>
          <w:rFonts w:ascii="Arial" w:hAnsi="Arial" w:cs="Arial"/>
          <w:b/>
        </w:rPr>
      </w:pPr>
    </w:p>
    <w:p w:rsidR="001E74D2" w:rsidRDefault="001E74D2" w:rsidP="001E74D2">
      <w:pPr>
        <w:pStyle w:val="Default"/>
        <w:numPr>
          <w:ilvl w:val="0"/>
          <w:numId w:val="24"/>
        </w:numPr>
        <w:jc w:val="both"/>
        <w:rPr>
          <w:sz w:val="22"/>
          <w:szCs w:val="22"/>
        </w:rPr>
      </w:pPr>
      <w:r>
        <w:rPr>
          <w:sz w:val="22"/>
          <w:szCs w:val="22"/>
        </w:rPr>
        <w:t>The budgeted cash flow statement is the first measurement in determining if the budget is funded.</w:t>
      </w:r>
    </w:p>
    <w:p w:rsidR="001E74D2" w:rsidRDefault="001E74D2" w:rsidP="001E74D2">
      <w:pPr>
        <w:pStyle w:val="Default"/>
        <w:numPr>
          <w:ilvl w:val="0"/>
          <w:numId w:val="24"/>
        </w:numPr>
        <w:jc w:val="both"/>
        <w:rPr>
          <w:sz w:val="22"/>
          <w:szCs w:val="22"/>
        </w:rPr>
      </w:pPr>
      <w:r>
        <w:rPr>
          <w:sz w:val="22"/>
          <w:szCs w:val="22"/>
        </w:rPr>
        <w:t xml:space="preserve">It </w:t>
      </w:r>
      <w:r w:rsidR="003D5ED1">
        <w:rPr>
          <w:sz w:val="22"/>
          <w:szCs w:val="22"/>
        </w:rPr>
        <w:t xml:space="preserve">shows the expected </w:t>
      </w:r>
      <w:r>
        <w:rPr>
          <w:sz w:val="22"/>
          <w:szCs w:val="22"/>
        </w:rPr>
        <w:t xml:space="preserve">level of cash in-flow versus cash out-flow </w:t>
      </w:r>
      <w:r w:rsidR="003D5ED1">
        <w:rPr>
          <w:sz w:val="22"/>
          <w:szCs w:val="22"/>
        </w:rPr>
        <w:t>that is likely to result from the implementation of the budget</w:t>
      </w:r>
      <w:r>
        <w:rPr>
          <w:sz w:val="22"/>
          <w:szCs w:val="22"/>
        </w:rPr>
        <w:t>.</w:t>
      </w:r>
    </w:p>
    <w:p w:rsidR="001E74D2" w:rsidRDefault="001E74D2" w:rsidP="001E74D2">
      <w:pPr>
        <w:pStyle w:val="Default"/>
        <w:numPr>
          <w:ilvl w:val="0"/>
          <w:numId w:val="24"/>
        </w:numPr>
        <w:jc w:val="both"/>
        <w:rPr>
          <w:sz w:val="22"/>
          <w:szCs w:val="22"/>
        </w:rPr>
      </w:pPr>
      <w:r>
        <w:rPr>
          <w:sz w:val="22"/>
          <w:szCs w:val="22"/>
        </w:rPr>
        <w:t xml:space="preserve">It can be seen </w:t>
      </w:r>
      <w:r w:rsidR="00FE478E">
        <w:rPr>
          <w:sz w:val="22"/>
          <w:szCs w:val="22"/>
        </w:rPr>
        <w:t>that the cash levels of the Municipality</w:t>
      </w:r>
      <w:r>
        <w:rPr>
          <w:sz w:val="22"/>
          <w:szCs w:val="22"/>
        </w:rPr>
        <w:t xml:space="preserve"> </w:t>
      </w:r>
      <w:r w:rsidR="00F933E5">
        <w:rPr>
          <w:sz w:val="22"/>
          <w:szCs w:val="22"/>
        </w:rPr>
        <w:t xml:space="preserve">fell </w:t>
      </w:r>
      <w:r w:rsidR="006F3DB0">
        <w:rPr>
          <w:sz w:val="22"/>
          <w:szCs w:val="22"/>
        </w:rPr>
        <w:t>significantly over th</w:t>
      </w:r>
      <w:r w:rsidR="00962C25">
        <w:rPr>
          <w:sz w:val="22"/>
          <w:szCs w:val="22"/>
        </w:rPr>
        <w:t>e 2017/18</w:t>
      </w:r>
      <w:r w:rsidR="00FE478E">
        <w:rPr>
          <w:sz w:val="22"/>
          <w:szCs w:val="22"/>
        </w:rPr>
        <w:t xml:space="preserve"> to </w:t>
      </w:r>
      <w:r w:rsidR="001143B3">
        <w:rPr>
          <w:sz w:val="22"/>
          <w:szCs w:val="22"/>
        </w:rPr>
        <w:t>2018/19</w:t>
      </w:r>
      <w:r>
        <w:rPr>
          <w:sz w:val="22"/>
          <w:szCs w:val="22"/>
        </w:rPr>
        <w:t xml:space="preserve"> period owing directly to a net </w:t>
      </w:r>
      <w:r w:rsidR="00FE478E">
        <w:rPr>
          <w:sz w:val="22"/>
          <w:szCs w:val="22"/>
        </w:rPr>
        <w:t xml:space="preserve">decrease in cash for the </w:t>
      </w:r>
      <w:r w:rsidR="004454A3">
        <w:rPr>
          <w:sz w:val="22"/>
          <w:szCs w:val="22"/>
        </w:rPr>
        <w:t>2019/20</w:t>
      </w:r>
      <w:r w:rsidR="00962C25">
        <w:rPr>
          <w:sz w:val="22"/>
          <w:szCs w:val="22"/>
        </w:rPr>
        <w:t xml:space="preserve"> financial year.</w:t>
      </w:r>
    </w:p>
    <w:p w:rsidR="00DC09F0" w:rsidRDefault="004454A3" w:rsidP="001E74D2">
      <w:pPr>
        <w:pStyle w:val="Default"/>
        <w:numPr>
          <w:ilvl w:val="0"/>
          <w:numId w:val="24"/>
        </w:numPr>
        <w:jc w:val="both"/>
        <w:rPr>
          <w:sz w:val="22"/>
          <w:szCs w:val="22"/>
        </w:rPr>
      </w:pPr>
      <w:r>
        <w:rPr>
          <w:sz w:val="22"/>
          <w:szCs w:val="22"/>
        </w:rPr>
        <w:t>As part of the 2018/19</w:t>
      </w:r>
      <w:r w:rsidR="001E74D2">
        <w:rPr>
          <w:sz w:val="22"/>
          <w:szCs w:val="22"/>
        </w:rPr>
        <w:t xml:space="preserve"> mid-year review and </w:t>
      </w:r>
      <w:r w:rsidR="00F933E5">
        <w:rPr>
          <w:sz w:val="22"/>
          <w:szCs w:val="22"/>
        </w:rPr>
        <w:t>A</w:t>
      </w:r>
      <w:r w:rsidR="001E74D2">
        <w:rPr>
          <w:sz w:val="22"/>
          <w:szCs w:val="22"/>
        </w:rPr>
        <w:t xml:space="preserve">djustments </w:t>
      </w:r>
      <w:r w:rsidR="00F933E5">
        <w:rPr>
          <w:sz w:val="22"/>
          <w:szCs w:val="22"/>
        </w:rPr>
        <w:t>B</w:t>
      </w:r>
      <w:r w:rsidR="001E74D2">
        <w:rPr>
          <w:sz w:val="22"/>
          <w:szCs w:val="22"/>
        </w:rPr>
        <w:t>udget this unsustainable cash position had to be addressed as a matter of urgency and various interventions were implemented such as the reduction of expenditure allocations and rationalization of spending priorities.</w:t>
      </w:r>
    </w:p>
    <w:p w:rsidR="001E74D2" w:rsidRPr="00DC09F0" w:rsidRDefault="00FE478E" w:rsidP="00DC09F0">
      <w:pPr>
        <w:pStyle w:val="Default"/>
        <w:numPr>
          <w:ilvl w:val="0"/>
          <w:numId w:val="24"/>
        </w:numPr>
        <w:jc w:val="both"/>
        <w:rPr>
          <w:sz w:val="22"/>
          <w:szCs w:val="22"/>
        </w:rPr>
      </w:pPr>
      <w:r>
        <w:rPr>
          <w:sz w:val="22"/>
          <w:szCs w:val="22"/>
        </w:rPr>
        <w:t>In addition the Municipality</w:t>
      </w:r>
      <w:r w:rsidR="001E74D2">
        <w:rPr>
          <w:sz w:val="22"/>
          <w:szCs w:val="22"/>
        </w:rPr>
        <w:t xml:space="preserve"> undertook an extensive debt collection drive resulting in cas</w:t>
      </w:r>
      <w:r>
        <w:rPr>
          <w:sz w:val="22"/>
          <w:szCs w:val="22"/>
        </w:rPr>
        <w:t>h receipts on arrear debtors</w:t>
      </w:r>
      <w:r w:rsidR="001E74D2">
        <w:rPr>
          <w:sz w:val="22"/>
          <w:szCs w:val="22"/>
        </w:rPr>
        <w:t xml:space="preserve">. </w:t>
      </w:r>
      <w:r w:rsidR="000E381F">
        <w:rPr>
          <w:sz w:val="22"/>
          <w:szCs w:val="22"/>
        </w:rPr>
        <w:t xml:space="preserve"> </w:t>
      </w:r>
    </w:p>
    <w:p w:rsidR="00ED6927" w:rsidRDefault="00FE478E" w:rsidP="00ED6927">
      <w:pPr>
        <w:pStyle w:val="Default"/>
        <w:numPr>
          <w:ilvl w:val="0"/>
          <w:numId w:val="24"/>
        </w:numPr>
        <w:jc w:val="both"/>
        <w:rPr>
          <w:sz w:val="22"/>
          <w:szCs w:val="22"/>
        </w:rPr>
      </w:pPr>
      <w:r>
        <w:rPr>
          <w:sz w:val="22"/>
          <w:szCs w:val="22"/>
        </w:rPr>
        <w:t xml:space="preserve">The </w:t>
      </w:r>
      <w:r w:rsidR="004454A3">
        <w:rPr>
          <w:sz w:val="22"/>
          <w:szCs w:val="22"/>
        </w:rPr>
        <w:t>2019/20</w:t>
      </w:r>
      <w:r w:rsidR="001E74D2">
        <w:rPr>
          <w:sz w:val="22"/>
          <w:szCs w:val="22"/>
        </w:rPr>
        <w:t xml:space="preserve"> MTREF has been informed by the planning principle of ensuring adequate cash reserves over the medium-term.</w:t>
      </w:r>
      <w:bookmarkStart w:id="74" w:name="_Toc287342466"/>
    </w:p>
    <w:p w:rsidR="00962C25" w:rsidRPr="00E56FBA" w:rsidRDefault="00962C25" w:rsidP="00962C25">
      <w:pPr>
        <w:pStyle w:val="Default"/>
        <w:ind w:left="360"/>
        <w:jc w:val="both"/>
        <w:rPr>
          <w:sz w:val="22"/>
          <w:szCs w:val="22"/>
        </w:rPr>
      </w:pPr>
    </w:p>
    <w:p w:rsidR="008F2F44" w:rsidRDefault="008F2F44" w:rsidP="008F2F44">
      <w:pPr>
        <w:pStyle w:val="Caption"/>
      </w:pPr>
      <w:r>
        <w:t xml:space="preserve">Table </w:t>
      </w:r>
      <w:r w:rsidR="00076BC0">
        <w:rPr>
          <w:noProof/>
        </w:rPr>
        <w:fldChar w:fldCharType="begin"/>
      </w:r>
      <w:r w:rsidR="00076BC0">
        <w:rPr>
          <w:noProof/>
        </w:rPr>
        <w:instrText xml:space="preserve"> SEQ Table \* ARABIC </w:instrText>
      </w:r>
      <w:r w:rsidR="00076BC0">
        <w:rPr>
          <w:noProof/>
        </w:rPr>
        <w:fldChar w:fldCharType="separate"/>
      </w:r>
      <w:r w:rsidR="00FB5E13">
        <w:rPr>
          <w:noProof/>
        </w:rPr>
        <w:t>18</w:t>
      </w:r>
      <w:r w:rsidR="00076BC0">
        <w:rPr>
          <w:noProof/>
        </w:rPr>
        <w:fldChar w:fldCharType="end"/>
      </w:r>
      <w:r>
        <w:t xml:space="preserve">  MBRR</w:t>
      </w:r>
      <w:r w:rsidRPr="00D83EF0">
        <w:t xml:space="preserve"> Table A8</w:t>
      </w:r>
      <w:r>
        <w:t xml:space="preserve"> - </w:t>
      </w:r>
      <w:r w:rsidRPr="00D83EF0">
        <w:t>Cash Backed Reserves/Accumulated Surplus Reconciliation</w:t>
      </w:r>
      <w:bookmarkEnd w:id="74"/>
    </w:p>
    <w:p w:rsidR="008F2F44" w:rsidRPr="008F2F44" w:rsidRDefault="00A10411" w:rsidP="008F2F44">
      <w:r w:rsidRPr="00A10411">
        <w:rPr>
          <w:noProof/>
          <w:lang w:val="en-ZA" w:eastAsia="en-ZA"/>
        </w:rPr>
        <w:drawing>
          <wp:inline distT="0" distB="0" distL="0" distR="0">
            <wp:extent cx="5943600" cy="2055611"/>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055611"/>
                    </a:xfrm>
                    <a:prstGeom prst="rect">
                      <a:avLst/>
                    </a:prstGeom>
                    <a:noFill/>
                    <a:ln>
                      <a:noFill/>
                    </a:ln>
                  </pic:spPr>
                </pic:pic>
              </a:graphicData>
            </a:graphic>
          </wp:inline>
        </w:drawing>
      </w:r>
    </w:p>
    <w:p w:rsidR="00112F8B" w:rsidRDefault="00112F8B" w:rsidP="00112F8B">
      <w:pPr>
        <w:spacing w:after="0" w:line="240" w:lineRule="auto"/>
        <w:jc w:val="both"/>
        <w:rPr>
          <w:rFonts w:ascii="Arial" w:hAnsi="Arial" w:cs="Arial"/>
          <w:b/>
        </w:rPr>
      </w:pPr>
    </w:p>
    <w:p w:rsidR="008F2F44" w:rsidRDefault="00112F8B" w:rsidP="00112F8B">
      <w:pPr>
        <w:spacing w:after="0" w:line="240" w:lineRule="auto"/>
        <w:jc w:val="both"/>
        <w:rPr>
          <w:rFonts w:ascii="Arial" w:hAnsi="Arial" w:cs="Arial"/>
          <w:b/>
        </w:rPr>
      </w:pPr>
      <w:r w:rsidRPr="00470799">
        <w:rPr>
          <w:rFonts w:ascii="Arial" w:hAnsi="Arial" w:cs="Arial"/>
          <w:b/>
        </w:rPr>
        <w:t xml:space="preserve">Explanatory notes </w:t>
      </w:r>
      <w:r>
        <w:rPr>
          <w:rFonts w:ascii="Arial" w:hAnsi="Arial" w:cs="Arial"/>
          <w:b/>
        </w:rPr>
        <w:t xml:space="preserve">to </w:t>
      </w:r>
      <w:r w:rsidRPr="00112F8B">
        <w:rPr>
          <w:rFonts w:ascii="Arial" w:hAnsi="Arial" w:cs="Arial"/>
          <w:b/>
        </w:rPr>
        <w:t>Table A8 - Cash Backed Reserves/Accumulated Surplus Reconciliation</w:t>
      </w:r>
    </w:p>
    <w:p w:rsidR="00112F8B" w:rsidRDefault="00112F8B" w:rsidP="00112F8B">
      <w:pPr>
        <w:spacing w:after="0" w:line="240" w:lineRule="auto"/>
        <w:jc w:val="both"/>
        <w:rPr>
          <w:rFonts w:ascii="Arial" w:hAnsi="Arial" w:cs="Arial"/>
          <w:b/>
        </w:rPr>
      </w:pPr>
    </w:p>
    <w:p w:rsidR="00DC09F0" w:rsidRDefault="00DC09F0" w:rsidP="00DC09F0">
      <w:pPr>
        <w:pStyle w:val="Default"/>
        <w:numPr>
          <w:ilvl w:val="0"/>
          <w:numId w:val="25"/>
        </w:numPr>
        <w:jc w:val="both"/>
        <w:rPr>
          <w:sz w:val="22"/>
          <w:szCs w:val="22"/>
        </w:rPr>
      </w:pPr>
      <w:r>
        <w:rPr>
          <w:sz w:val="22"/>
          <w:szCs w:val="22"/>
        </w:rPr>
        <w:t>The cash backed reserves/accumulated surplus reconciliation is aligned to the requirements of MFMA Circular 42 – Funding a Municipal Budget.</w:t>
      </w:r>
    </w:p>
    <w:p w:rsidR="00DC09F0" w:rsidRDefault="00DC09F0" w:rsidP="00DC09F0">
      <w:pPr>
        <w:pStyle w:val="Default"/>
        <w:numPr>
          <w:ilvl w:val="0"/>
          <w:numId w:val="25"/>
        </w:numPr>
        <w:jc w:val="both"/>
        <w:rPr>
          <w:sz w:val="22"/>
          <w:szCs w:val="22"/>
        </w:rPr>
      </w:pPr>
      <w:r>
        <w:rPr>
          <w:sz w:val="22"/>
          <w:szCs w:val="22"/>
        </w:rPr>
        <w:t>In essence the table evaluates the funding levels of the budget by firstly forecasting the cash and investments at year end and secondly reconciling the available funding to the liabilities/commitments that exist.</w:t>
      </w:r>
    </w:p>
    <w:p w:rsidR="00DC09F0" w:rsidRDefault="00DC09F0" w:rsidP="00DC09F0">
      <w:pPr>
        <w:pStyle w:val="Default"/>
        <w:numPr>
          <w:ilvl w:val="0"/>
          <w:numId w:val="25"/>
        </w:numPr>
        <w:jc w:val="both"/>
        <w:rPr>
          <w:sz w:val="22"/>
          <w:szCs w:val="22"/>
        </w:rPr>
      </w:pPr>
      <w:r>
        <w:rPr>
          <w:sz w:val="22"/>
          <w:szCs w:val="22"/>
        </w:rPr>
        <w:t>The outcome of this exercise would either be a surplus or deficit. A deficit would indicate that the applications exceed the cash and investments available and would be indicative of non-compliance with the MFMA requirements that the municipality’s budget must be “funded”.</w:t>
      </w:r>
    </w:p>
    <w:p w:rsidR="00DC09F0" w:rsidRPr="006F3DB0" w:rsidRDefault="00DC09F0" w:rsidP="006F3DB0">
      <w:pPr>
        <w:pStyle w:val="Default"/>
        <w:numPr>
          <w:ilvl w:val="0"/>
          <w:numId w:val="25"/>
        </w:numPr>
        <w:jc w:val="both"/>
        <w:rPr>
          <w:sz w:val="22"/>
          <w:szCs w:val="22"/>
        </w:rPr>
      </w:pPr>
      <w:r>
        <w:rPr>
          <w:sz w:val="22"/>
          <w:szCs w:val="22"/>
        </w:rPr>
        <w:t>Non-compliance with section 18 of the MFMA is assumed because a shortfall would indirectly indicate that the annual budget is not appropriately funded.</w:t>
      </w:r>
    </w:p>
    <w:p w:rsidR="00DC09F0" w:rsidRPr="00DC09F0" w:rsidRDefault="00DC09F0" w:rsidP="00DC09F0">
      <w:pPr>
        <w:pStyle w:val="Caption"/>
        <w:numPr>
          <w:ilvl w:val="0"/>
          <w:numId w:val="25"/>
        </w:numPr>
        <w:spacing w:after="0"/>
        <w:jc w:val="both"/>
        <w:rPr>
          <w:rFonts w:cs="Arial"/>
          <w:b w:val="0"/>
        </w:rPr>
      </w:pPr>
      <w:r w:rsidRPr="00DC09F0">
        <w:rPr>
          <w:b w:val="0"/>
          <w:szCs w:val="22"/>
        </w:rPr>
        <w:t>Considering the requirements of section 18 of the MFMA, it can be co</w:t>
      </w:r>
      <w:r w:rsidR="00656926">
        <w:rPr>
          <w:b w:val="0"/>
          <w:szCs w:val="22"/>
        </w:rPr>
        <w:t xml:space="preserve">ncluded that the adopted </w:t>
      </w:r>
      <w:r w:rsidR="004454A3">
        <w:rPr>
          <w:b w:val="0"/>
          <w:szCs w:val="22"/>
        </w:rPr>
        <w:t>2019/20</w:t>
      </w:r>
      <w:r w:rsidRPr="00DC09F0">
        <w:rPr>
          <w:b w:val="0"/>
          <w:szCs w:val="22"/>
        </w:rPr>
        <w:t xml:space="preserve"> MT</w:t>
      </w:r>
      <w:r w:rsidR="00656926">
        <w:rPr>
          <w:b w:val="0"/>
          <w:szCs w:val="22"/>
        </w:rPr>
        <w:t>REF was</w:t>
      </w:r>
      <w:r w:rsidRPr="00DC09F0">
        <w:rPr>
          <w:b w:val="0"/>
          <w:szCs w:val="22"/>
        </w:rPr>
        <w:t xml:space="preserve"> funded </w:t>
      </w:r>
      <w:r w:rsidR="00656926">
        <w:rPr>
          <w:b w:val="0"/>
          <w:szCs w:val="22"/>
        </w:rPr>
        <w:t>owing to the significant surplus</w:t>
      </w:r>
      <w:r w:rsidRPr="00DC09F0">
        <w:rPr>
          <w:b w:val="0"/>
          <w:szCs w:val="22"/>
        </w:rPr>
        <w:t>.</w:t>
      </w:r>
    </w:p>
    <w:p w:rsidR="00B85BA5" w:rsidRPr="006F3DB0" w:rsidRDefault="00DC09F0" w:rsidP="00D83EF0">
      <w:pPr>
        <w:pStyle w:val="Caption"/>
        <w:numPr>
          <w:ilvl w:val="0"/>
          <w:numId w:val="25"/>
        </w:numPr>
        <w:spacing w:after="0"/>
        <w:jc w:val="both"/>
        <w:rPr>
          <w:rFonts w:cs="Arial"/>
          <w:b w:val="0"/>
        </w:rPr>
      </w:pPr>
      <w:r w:rsidRPr="00DC09F0">
        <w:rPr>
          <w:b w:val="0"/>
          <w:szCs w:val="22"/>
        </w:rPr>
        <w:t>As part of the budgeting and planning guidelines that informe</w:t>
      </w:r>
      <w:r w:rsidR="00656926">
        <w:rPr>
          <w:b w:val="0"/>
          <w:szCs w:val="22"/>
        </w:rPr>
        <w:t xml:space="preserve">d the compilation of the </w:t>
      </w:r>
      <w:r w:rsidR="004454A3">
        <w:rPr>
          <w:b w:val="0"/>
          <w:szCs w:val="22"/>
        </w:rPr>
        <w:t>2019/20</w:t>
      </w:r>
      <w:r w:rsidRPr="00DC09F0">
        <w:rPr>
          <w:b w:val="0"/>
          <w:szCs w:val="22"/>
        </w:rPr>
        <w:t xml:space="preserve"> MTREF the end objective of the medium-term framework was to ensure the budget is funded aligned to section 18 of the MFMA.</w:t>
      </w:r>
    </w:p>
    <w:p w:rsidR="002910E1" w:rsidRPr="002910E1" w:rsidRDefault="002910E1" w:rsidP="001268DE">
      <w:pPr>
        <w:pStyle w:val="Caption"/>
        <w:spacing w:before="120" w:after="0"/>
      </w:pPr>
    </w:p>
    <w:p w:rsidR="008606D5" w:rsidRPr="00112F8B" w:rsidRDefault="008606D5">
      <w:pPr>
        <w:rPr>
          <w:rFonts w:ascii="Arial" w:hAnsi="Arial" w:cs="Arial"/>
          <w:b/>
        </w:rPr>
      </w:pPr>
    </w:p>
    <w:p w:rsidR="00112F8B" w:rsidRDefault="00112F8B">
      <w:r>
        <w:br w:type="page"/>
      </w:r>
    </w:p>
    <w:p w:rsidR="00A94F8D" w:rsidRPr="00842C4F" w:rsidRDefault="00A94F8D" w:rsidP="00D83EF0">
      <w:pPr>
        <w:pStyle w:val="Heading1"/>
        <w:spacing w:before="0" w:line="240" w:lineRule="auto"/>
        <w:jc w:val="center"/>
        <w:rPr>
          <w:rFonts w:ascii="Arial Black" w:hAnsi="Arial Black"/>
          <w:color w:val="FFFFFF" w:themeColor="background1"/>
          <w:sz w:val="32"/>
          <w:szCs w:val="32"/>
        </w:rPr>
      </w:pPr>
      <w:bookmarkStart w:id="75" w:name="_Toc286034101"/>
      <w:bookmarkStart w:id="76" w:name="_Toc286034692"/>
      <w:bookmarkStart w:id="77" w:name="_Toc286041438"/>
      <w:bookmarkStart w:id="78" w:name="_Toc286041507"/>
      <w:bookmarkStart w:id="79" w:name="_Toc286117318"/>
      <w:bookmarkStart w:id="80" w:name="_Toc287342529"/>
      <w:r w:rsidRPr="00FE1212">
        <w:rPr>
          <w:rFonts w:ascii="Arial Black" w:hAnsi="Arial Black"/>
          <w:color w:val="auto"/>
          <w:sz w:val="32"/>
          <w:szCs w:val="32"/>
        </w:rPr>
        <w:t>P</w:t>
      </w:r>
      <w:r w:rsidR="0019235A">
        <w:rPr>
          <w:rFonts w:ascii="Arial Black" w:hAnsi="Arial Black"/>
          <w:color w:val="auto"/>
          <w:sz w:val="32"/>
          <w:szCs w:val="32"/>
        </w:rPr>
        <w:t xml:space="preserve">art </w:t>
      </w:r>
      <w:r w:rsidRPr="00FE1212">
        <w:rPr>
          <w:rFonts w:ascii="Arial Black" w:hAnsi="Arial Black"/>
          <w:color w:val="auto"/>
          <w:sz w:val="32"/>
          <w:szCs w:val="32"/>
        </w:rPr>
        <w:t>2 – S</w:t>
      </w:r>
      <w:r w:rsidR="0019235A">
        <w:rPr>
          <w:rFonts w:ascii="Arial Black" w:hAnsi="Arial Black"/>
          <w:color w:val="auto"/>
          <w:sz w:val="32"/>
          <w:szCs w:val="32"/>
        </w:rPr>
        <w:t>upporting Documentation</w:t>
      </w:r>
      <w:bookmarkEnd w:id="75"/>
      <w:bookmarkEnd w:id="76"/>
      <w:bookmarkEnd w:id="77"/>
      <w:bookmarkEnd w:id="78"/>
      <w:bookmarkEnd w:id="79"/>
      <w:bookmarkEnd w:id="80"/>
    </w:p>
    <w:p w:rsidR="00FE1212" w:rsidRPr="00FE1212" w:rsidRDefault="00FE1212" w:rsidP="00500DEB">
      <w:pPr>
        <w:spacing w:after="0" w:line="240" w:lineRule="auto"/>
      </w:pPr>
    </w:p>
    <w:p w:rsidR="00A94F8D" w:rsidRPr="00FE1212" w:rsidRDefault="00CB594D" w:rsidP="00500DEB">
      <w:pPr>
        <w:pStyle w:val="Heading2"/>
        <w:spacing w:before="0" w:line="240" w:lineRule="auto"/>
        <w:rPr>
          <w:rFonts w:ascii="Arial" w:hAnsi="Arial" w:cs="Arial"/>
          <w:color w:val="auto"/>
        </w:rPr>
      </w:pPr>
      <w:bookmarkStart w:id="81" w:name="_Toc286034102"/>
      <w:bookmarkStart w:id="82" w:name="_Toc286034693"/>
      <w:bookmarkStart w:id="83" w:name="_Toc286041439"/>
      <w:bookmarkStart w:id="84" w:name="_Toc286041508"/>
      <w:bookmarkStart w:id="85" w:name="_Toc286117319"/>
      <w:bookmarkStart w:id="86" w:name="_Toc287342530"/>
      <w:r w:rsidRPr="00FE1212">
        <w:rPr>
          <w:rFonts w:ascii="Arial" w:hAnsi="Arial" w:cs="Arial"/>
          <w:color w:val="auto"/>
        </w:rPr>
        <w:t>Overview of the annual budget process</w:t>
      </w:r>
      <w:bookmarkEnd w:id="81"/>
      <w:bookmarkEnd w:id="82"/>
      <w:bookmarkEnd w:id="83"/>
      <w:bookmarkEnd w:id="84"/>
      <w:bookmarkEnd w:id="85"/>
      <w:bookmarkEnd w:id="86"/>
    </w:p>
    <w:p w:rsidR="0084642C" w:rsidRDefault="0084642C" w:rsidP="00D83EF0">
      <w:pPr>
        <w:pStyle w:val="Paragraph"/>
        <w:tabs>
          <w:tab w:val="clear" w:pos="284"/>
          <w:tab w:val="clear" w:pos="567"/>
          <w:tab w:val="clear" w:pos="851"/>
        </w:tabs>
        <w:spacing w:after="0" w:line="240" w:lineRule="auto"/>
        <w:rPr>
          <w:rFonts w:ascii="Arial" w:hAnsi="Arial" w:cs="Arial"/>
          <w:szCs w:val="22"/>
        </w:rPr>
      </w:pPr>
    </w:p>
    <w:p w:rsidR="00977183" w:rsidRDefault="00D83EF0" w:rsidP="00D83EF0">
      <w:pPr>
        <w:pStyle w:val="Paragraph"/>
        <w:tabs>
          <w:tab w:val="clear" w:pos="284"/>
          <w:tab w:val="clear" w:pos="567"/>
          <w:tab w:val="clear" w:pos="851"/>
        </w:tabs>
        <w:spacing w:after="0" w:line="240" w:lineRule="auto"/>
        <w:rPr>
          <w:rFonts w:ascii="Arial" w:hAnsi="Arial" w:cs="Arial"/>
          <w:szCs w:val="22"/>
        </w:rPr>
      </w:pPr>
      <w:r w:rsidRPr="00FE1212">
        <w:rPr>
          <w:rFonts w:ascii="Arial" w:hAnsi="Arial" w:cs="Arial"/>
          <w:szCs w:val="22"/>
        </w:rPr>
        <w:t xml:space="preserve">Section 53 </w:t>
      </w:r>
      <w:r w:rsidR="0084642C">
        <w:rPr>
          <w:rFonts w:ascii="Arial" w:hAnsi="Arial" w:cs="Arial"/>
          <w:szCs w:val="22"/>
        </w:rPr>
        <w:t xml:space="preserve">of the MFMA </w:t>
      </w:r>
      <w:r w:rsidRPr="00FE1212">
        <w:rPr>
          <w:rFonts w:ascii="Arial" w:hAnsi="Arial" w:cs="Arial"/>
          <w:szCs w:val="22"/>
        </w:rPr>
        <w:t xml:space="preserve">requires the Mayor of the municipality to provide general political guidance in the budget process and the </w:t>
      </w:r>
      <w:r w:rsidR="00977183">
        <w:rPr>
          <w:rFonts w:ascii="Arial" w:hAnsi="Arial" w:cs="Arial"/>
          <w:szCs w:val="22"/>
        </w:rPr>
        <w:t xml:space="preserve">setting of </w:t>
      </w:r>
      <w:r w:rsidRPr="00FE1212">
        <w:rPr>
          <w:rFonts w:ascii="Arial" w:hAnsi="Arial" w:cs="Arial"/>
          <w:szCs w:val="22"/>
        </w:rPr>
        <w:t xml:space="preserve">priorities that must guide the preparation of the budget. </w:t>
      </w:r>
      <w:r w:rsidR="0084642C">
        <w:rPr>
          <w:rFonts w:ascii="Arial" w:hAnsi="Arial" w:cs="Arial"/>
          <w:szCs w:val="22"/>
        </w:rPr>
        <w:t xml:space="preserve"> </w:t>
      </w:r>
      <w:r w:rsidRPr="00FE1212">
        <w:rPr>
          <w:rFonts w:ascii="Arial" w:hAnsi="Arial" w:cs="Arial"/>
          <w:szCs w:val="22"/>
        </w:rPr>
        <w:t xml:space="preserve">In addition Chapter 2 of the Municipal Budget and Reporting Regulations states that the Mayor of the municipality must establish a Budget Steering Committee to provide technical assistance to the Mayor in discharging the responsibilities set out in </w:t>
      </w:r>
      <w:r w:rsidR="0084642C">
        <w:rPr>
          <w:rFonts w:ascii="Arial" w:hAnsi="Arial" w:cs="Arial"/>
          <w:szCs w:val="22"/>
        </w:rPr>
        <w:t>s</w:t>
      </w:r>
      <w:r w:rsidRPr="00FE1212">
        <w:rPr>
          <w:rFonts w:ascii="Arial" w:hAnsi="Arial" w:cs="Arial"/>
          <w:szCs w:val="22"/>
        </w:rPr>
        <w:t xml:space="preserve">ection 53 of the Act. </w:t>
      </w:r>
    </w:p>
    <w:p w:rsidR="00977183" w:rsidRDefault="00977183" w:rsidP="0084642C">
      <w:pPr>
        <w:spacing w:after="0" w:line="240" w:lineRule="auto"/>
        <w:jc w:val="both"/>
        <w:rPr>
          <w:rFonts w:ascii="Arial" w:hAnsi="Arial" w:cs="Arial"/>
        </w:rPr>
      </w:pPr>
    </w:p>
    <w:p w:rsidR="00977183" w:rsidRDefault="00977183" w:rsidP="00D83EF0">
      <w:pPr>
        <w:pStyle w:val="Paragraph"/>
        <w:tabs>
          <w:tab w:val="clear" w:pos="284"/>
          <w:tab w:val="clear" w:pos="567"/>
          <w:tab w:val="clear" w:pos="851"/>
        </w:tabs>
        <w:spacing w:after="0" w:line="240" w:lineRule="auto"/>
        <w:rPr>
          <w:rFonts w:ascii="Arial" w:hAnsi="Arial" w:cs="Arial"/>
          <w:szCs w:val="22"/>
        </w:rPr>
      </w:pPr>
      <w:r>
        <w:rPr>
          <w:rFonts w:ascii="Arial" w:hAnsi="Arial" w:cs="Arial"/>
          <w:szCs w:val="22"/>
        </w:rPr>
        <w:t xml:space="preserve">The Budget Steering Committee consists of the Municipal Manager and senior officials of the municipality meeting under the chairpersonship of the MMC for Finance. </w:t>
      </w:r>
    </w:p>
    <w:p w:rsidR="00977183" w:rsidRDefault="00977183" w:rsidP="00D83EF0">
      <w:pPr>
        <w:pStyle w:val="Paragraph"/>
        <w:tabs>
          <w:tab w:val="clear" w:pos="284"/>
          <w:tab w:val="clear" w:pos="567"/>
          <w:tab w:val="clear" w:pos="851"/>
        </w:tabs>
        <w:spacing w:after="0" w:line="240" w:lineRule="auto"/>
        <w:rPr>
          <w:rFonts w:ascii="Arial" w:hAnsi="Arial" w:cs="Arial"/>
          <w:szCs w:val="22"/>
        </w:rPr>
      </w:pPr>
    </w:p>
    <w:p w:rsidR="00977183" w:rsidRDefault="00977183" w:rsidP="00D83EF0">
      <w:pPr>
        <w:pStyle w:val="Paragraph"/>
        <w:tabs>
          <w:tab w:val="clear" w:pos="284"/>
          <w:tab w:val="clear" w:pos="567"/>
          <w:tab w:val="clear" w:pos="851"/>
        </w:tabs>
        <w:spacing w:after="0" w:line="240" w:lineRule="auto"/>
        <w:rPr>
          <w:rFonts w:ascii="Arial" w:hAnsi="Arial" w:cs="Arial"/>
          <w:szCs w:val="22"/>
        </w:rPr>
      </w:pPr>
      <w:r>
        <w:rPr>
          <w:rFonts w:ascii="Arial" w:hAnsi="Arial" w:cs="Arial"/>
          <w:szCs w:val="22"/>
        </w:rPr>
        <w:t>The primary aims of the Budget Steering Committee is to ensure:</w:t>
      </w:r>
    </w:p>
    <w:p w:rsidR="00977183" w:rsidRDefault="00977183" w:rsidP="00E50C0E">
      <w:pPr>
        <w:pStyle w:val="Paragraph"/>
        <w:numPr>
          <w:ilvl w:val="0"/>
          <w:numId w:val="13"/>
        </w:numPr>
        <w:tabs>
          <w:tab w:val="clear" w:pos="284"/>
          <w:tab w:val="clear" w:pos="567"/>
          <w:tab w:val="clear" w:pos="851"/>
        </w:tabs>
        <w:spacing w:after="0" w:line="240" w:lineRule="auto"/>
        <w:rPr>
          <w:rFonts w:ascii="Arial" w:hAnsi="Arial" w:cs="Arial"/>
          <w:szCs w:val="22"/>
        </w:rPr>
      </w:pPr>
      <w:r>
        <w:rPr>
          <w:rFonts w:ascii="Arial" w:hAnsi="Arial" w:cs="Arial"/>
          <w:szCs w:val="22"/>
        </w:rPr>
        <w:t>that the process followed to compile the budget complies with legislation and good budget practices;</w:t>
      </w:r>
    </w:p>
    <w:p w:rsidR="0084642C" w:rsidRDefault="00977183" w:rsidP="00E50C0E">
      <w:pPr>
        <w:pStyle w:val="Paragraph"/>
        <w:numPr>
          <w:ilvl w:val="0"/>
          <w:numId w:val="13"/>
        </w:numPr>
        <w:tabs>
          <w:tab w:val="clear" w:pos="284"/>
          <w:tab w:val="clear" w:pos="567"/>
          <w:tab w:val="clear" w:pos="851"/>
        </w:tabs>
        <w:spacing w:after="0" w:line="240" w:lineRule="auto"/>
        <w:rPr>
          <w:rFonts w:ascii="Arial" w:hAnsi="Arial" w:cs="Arial"/>
          <w:szCs w:val="22"/>
        </w:rPr>
      </w:pPr>
      <w:r>
        <w:rPr>
          <w:rFonts w:ascii="Arial" w:hAnsi="Arial" w:cs="Arial"/>
          <w:szCs w:val="22"/>
        </w:rPr>
        <w:t xml:space="preserve">that there is proper alignment between the policy and service delivery </w:t>
      </w:r>
      <w:r w:rsidR="00AB4C1A">
        <w:rPr>
          <w:rFonts w:ascii="Arial" w:hAnsi="Arial" w:cs="Arial"/>
          <w:szCs w:val="22"/>
        </w:rPr>
        <w:t>priorities set out in the Municipality’s</w:t>
      </w:r>
      <w:r>
        <w:rPr>
          <w:rFonts w:ascii="Arial" w:hAnsi="Arial" w:cs="Arial"/>
          <w:szCs w:val="22"/>
        </w:rPr>
        <w:t xml:space="preserve"> IDP and the budget, taking into account the need to protect the financial sustainability of municipality; </w:t>
      </w:r>
    </w:p>
    <w:p w:rsidR="00977183" w:rsidRDefault="0084642C" w:rsidP="00E50C0E">
      <w:pPr>
        <w:pStyle w:val="Paragraph"/>
        <w:numPr>
          <w:ilvl w:val="0"/>
          <w:numId w:val="13"/>
        </w:numPr>
        <w:tabs>
          <w:tab w:val="clear" w:pos="284"/>
          <w:tab w:val="clear" w:pos="567"/>
          <w:tab w:val="clear" w:pos="851"/>
        </w:tabs>
        <w:spacing w:after="0" w:line="240" w:lineRule="auto"/>
        <w:rPr>
          <w:rFonts w:ascii="Arial" w:hAnsi="Arial" w:cs="Arial"/>
          <w:szCs w:val="22"/>
        </w:rPr>
      </w:pPr>
      <w:r>
        <w:rPr>
          <w:rFonts w:ascii="Arial" w:hAnsi="Arial" w:cs="Arial"/>
          <w:szCs w:val="22"/>
        </w:rPr>
        <w:t xml:space="preserve">that the municipality’s revenue and tariff setting strategies ensure that the cash resources needed to deliver services are available; </w:t>
      </w:r>
      <w:r w:rsidR="00977183">
        <w:rPr>
          <w:rFonts w:ascii="Arial" w:hAnsi="Arial" w:cs="Arial"/>
          <w:szCs w:val="22"/>
        </w:rPr>
        <w:t>and</w:t>
      </w:r>
    </w:p>
    <w:p w:rsidR="00977183" w:rsidRDefault="00977183" w:rsidP="00E50C0E">
      <w:pPr>
        <w:pStyle w:val="Paragraph"/>
        <w:numPr>
          <w:ilvl w:val="0"/>
          <w:numId w:val="13"/>
        </w:numPr>
        <w:tabs>
          <w:tab w:val="clear" w:pos="284"/>
          <w:tab w:val="clear" w:pos="567"/>
          <w:tab w:val="clear" w:pos="851"/>
        </w:tabs>
        <w:spacing w:after="0" w:line="240" w:lineRule="auto"/>
        <w:rPr>
          <w:szCs w:val="22"/>
        </w:rPr>
      </w:pPr>
      <w:proofErr w:type="gramStart"/>
      <w:r w:rsidRPr="00977183">
        <w:rPr>
          <w:rFonts w:ascii="Arial" w:hAnsi="Arial" w:cs="Arial"/>
          <w:szCs w:val="22"/>
        </w:rPr>
        <w:t>that</w:t>
      </w:r>
      <w:proofErr w:type="gramEnd"/>
      <w:r w:rsidRPr="00977183">
        <w:rPr>
          <w:rFonts w:ascii="Arial" w:hAnsi="Arial" w:cs="Arial"/>
          <w:szCs w:val="22"/>
        </w:rPr>
        <w:t xml:space="preserve"> the various spending priorities of the different municipal departments are properly evaluated and prioritised in the allocation of resources.</w:t>
      </w:r>
    </w:p>
    <w:p w:rsidR="00977183" w:rsidRPr="0084642C" w:rsidRDefault="00977183" w:rsidP="0084642C">
      <w:pPr>
        <w:pStyle w:val="Paragraph"/>
        <w:tabs>
          <w:tab w:val="clear" w:pos="284"/>
          <w:tab w:val="clear" w:pos="567"/>
          <w:tab w:val="clear" w:pos="851"/>
        </w:tabs>
        <w:spacing w:after="0" w:line="240" w:lineRule="auto"/>
        <w:rPr>
          <w:rFonts w:ascii="Arial" w:hAnsi="Arial" w:cs="Arial"/>
          <w:szCs w:val="22"/>
        </w:rPr>
      </w:pPr>
    </w:p>
    <w:p w:rsidR="00E80598" w:rsidRPr="008D6BA7" w:rsidRDefault="00E80598" w:rsidP="008D6BA7">
      <w:pPr>
        <w:pStyle w:val="Heading3"/>
        <w:rPr>
          <w:rFonts w:ascii="Arial" w:hAnsi="Arial" w:cs="Arial"/>
          <w:color w:val="auto"/>
        </w:rPr>
      </w:pPr>
      <w:bookmarkStart w:id="87" w:name="_Toc286034103"/>
      <w:bookmarkStart w:id="88" w:name="_Toc286034694"/>
      <w:r w:rsidRPr="008D6BA7">
        <w:rPr>
          <w:rFonts w:ascii="Arial" w:hAnsi="Arial" w:cs="Arial"/>
          <w:color w:val="auto"/>
        </w:rPr>
        <w:t>B</w:t>
      </w:r>
      <w:r w:rsidR="00FE1212" w:rsidRPr="008D6BA7">
        <w:rPr>
          <w:rFonts w:ascii="Arial" w:hAnsi="Arial" w:cs="Arial"/>
          <w:color w:val="auto"/>
        </w:rPr>
        <w:t>udget Process Overview</w:t>
      </w:r>
      <w:bookmarkEnd w:id="87"/>
      <w:bookmarkEnd w:id="88"/>
    </w:p>
    <w:p w:rsidR="00977183" w:rsidRDefault="00977183" w:rsidP="00500DEB">
      <w:pPr>
        <w:pStyle w:val="Paragraph"/>
        <w:tabs>
          <w:tab w:val="clear" w:pos="284"/>
          <w:tab w:val="clear" w:pos="567"/>
          <w:tab w:val="clear" w:pos="851"/>
        </w:tabs>
        <w:spacing w:after="0" w:line="240" w:lineRule="auto"/>
        <w:rPr>
          <w:rFonts w:ascii="Arial" w:hAnsi="Arial" w:cs="Arial"/>
          <w:szCs w:val="22"/>
        </w:rPr>
      </w:pPr>
    </w:p>
    <w:p w:rsidR="00E80598" w:rsidRDefault="00C36326" w:rsidP="00500DEB">
      <w:pPr>
        <w:pStyle w:val="Paragraph"/>
        <w:tabs>
          <w:tab w:val="clear" w:pos="284"/>
          <w:tab w:val="clear" w:pos="567"/>
          <w:tab w:val="clear" w:pos="851"/>
        </w:tabs>
        <w:spacing w:after="0" w:line="240" w:lineRule="auto"/>
        <w:rPr>
          <w:rFonts w:ascii="Arial" w:hAnsi="Arial" w:cs="Arial"/>
          <w:szCs w:val="22"/>
        </w:rPr>
      </w:pPr>
      <w:r w:rsidRPr="00C36326">
        <w:rPr>
          <w:rFonts w:ascii="Arial" w:hAnsi="Arial" w:cs="Arial"/>
          <w:szCs w:val="22"/>
        </w:rPr>
        <w:t>In terms of section</w:t>
      </w:r>
      <w:r w:rsidR="00E32FC2">
        <w:rPr>
          <w:rFonts w:ascii="Arial" w:hAnsi="Arial" w:cs="Arial"/>
          <w:szCs w:val="22"/>
        </w:rPr>
        <w:t xml:space="preserve"> 21 of the MFMA </w:t>
      </w:r>
      <w:r w:rsidRPr="00C36326">
        <w:rPr>
          <w:rFonts w:ascii="Arial" w:hAnsi="Arial" w:cs="Arial"/>
          <w:szCs w:val="22"/>
        </w:rPr>
        <w:t xml:space="preserve">the Mayor is required to table in Council ten months before the start of the new financial year (i.e. in </w:t>
      </w:r>
      <w:r w:rsidR="00E32FC2">
        <w:rPr>
          <w:rFonts w:ascii="Arial" w:hAnsi="Arial" w:cs="Arial"/>
          <w:szCs w:val="22"/>
        </w:rPr>
        <w:t xml:space="preserve">August </w:t>
      </w:r>
      <w:r w:rsidR="004454A3">
        <w:rPr>
          <w:rFonts w:ascii="Arial" w:hAnsi="Arial" w:cs="Arial"/>
          <w:szCs w:val="22"/>
        </w:rPr>
        <w:t>2019</w:t>
      </w:r>
      <w:r w:rsidRPr="00C36326">
        <w:rPr>
          <w:rFonts w:ascii="Arial" w:hAnsi="Arial" w:cs="Arial"/>
          <w:szCs w:val="22"/>
        </w:rPr>
        <w:t>) a time</w:t>
      </w:r>
      <w:r>
        <w:rPr>
          <w:rFonts w:ascii="Arial" w:hAnsi="Arial" w:cs="Arial"/>
          <w:szCs w:val="22"/>
        </w:rPr>
        <w:t xml:space="preserve"> schedule </w:t>
      </w:r>
      <w:r w:rsidRPr="00C36326">
        <w:rPr>
          <w:rFonts w:ascii="Arial" w:hAnsi="Arial" w:cs="Arial"/>
          <w:szCs w:val="22"/>
        </w:rPr>
        <w:t xml:space="preserve">that sets out the process to revise the IDP and prepare the budget. </w:t>
      </w:r>
    </w:p>
    <w:p w:rsidR="00C36326" w:rsidRPr="00C36326" w:rsidRDefault="00C36326" w:rsidP="00500DEB">
      <w:pPr>
        <w:pStyle w:val="Paragraph"/>
        <w:tabs>
          <w:tab w:val="clear" w:pos="284"/>
          <w:tab w:val="clear" w:pos="567"/>
          <w:tab w:val="clear" w:pos="851"/>
        </w:tabs>
        <w:spacing w:after="0" w:line="240" w:lineRule="auto"/>
        <w:rPr>
          <w:rFonts w:ascii="Arial" w:hAnsi="Arial" w:cs="Arial"/>
          <w:szCs w:val="22"/>
        </w:rPr>
      </w:pPr>
    </w:p>
    <w:p w:rsidR="00E80598" w:rsidRPr="00FE1212" w:rsidRDefault="00C36326" w:rsidP="00FE1212">
      <w:pPr>
        <w:spacing w:after="0" w:line="240" w:lineRule="auto"/>
        <w:jc w:val="both"/>
        <w:rPr>
          <w:rFonts w:ascii="Arial" w:eastAsia="Times New Roman" w:hAnsi="Arial" w:cs="Arial"/>
          <w:lang w:val="en-GB"/>
        </w:rPr>
      </w:pPr>
      <w:r>
        <w:rPr>
          <w:rFonts w:ascii="Arial" w:hAnsi="Arial" w:cs="Arial"/>
        </w:rPr>
        <w:t>The Mayor tabled in Council the required the ID</w:t>
      </w:r>
      <w:r w:rsidR="00CB5BC9">
        <w:rPr>
          <w:rFonts w:ascii="Arial" w:hAnsi="Arial" w:cs="Arial"/>
        </w:rPr>
        <w:t>P and bud</w:t>
      </w:r>
      <w:r w:rsidR="00645B13">
        <w:rPr>
          <w:rFonts w:ascii="Arial" w:hAnsi="Arial" w:cs="Arial"/>
        </w:rPr>
        <w:t>get time schedule on Augus</w:t>
      </w:r>
      <w:r w:rsidR="00635980">
        <w:rPr>
          <w:rFonts w:ascii="Arial" w:hAnsi="Arial" w:cs="Arial"/>
        </w:rPr>
        <w:t>t 2016</w:t>
      </w:r>
      <w:r>
        <w:rPr>
          <w:rFonts w:ascii="Arial" w:hAnsi="Arial" w:cs="Arial"/>
        </w:rPr>
        <w:t xml:space="preserve">.  </w:t>
      </w:r>
      <w:r w:rsidR="00E80598" w:rsidRPr="00FE1212">
        <w:rPr>
          <w:rFonts w:ascii="Arial" w:eastAsia="Times New Roman" w:hAnsi="Arial" w:cs="Arial"/>
          <w:lang w:val="en-GB"/>
        </w:rPr>
        <w:t xml:space="preserve">Key dates applicable </w:t>
      </w:r>
      <w:r>
        <w:rPr>
          <w:rFonts w:ascii="Arial" w:eastAsia="Times New Roman" w:hAnsi="Arial" w:cs="Arial"/>
          <w:lang w:val="en-GB"/>
        </w:rPr>
        <w:t xml:space="preserve">to the process were: </w:t>
      </w:r>
    </w:p>
    <w:p w:rsidR="00E80598" w:rsidRPr="00FE1212" w:rsidRDefault="00E80598" w:rsidP="00FE1212">
      <w:pPr>
        <w:spacing w:after="0" w:line="240" w:lineRule="auto"/>
        <w:jc w:val="both"/>
        <w:rPr>
          <w:rFonts w:ascii="Arial" w:eastAsia="Times New Roman" w:hAnsi="Arial" w:cs="Arial"/>
          <w:lang w:val="en-GB"/>
        </w:rPr>
      </w:pPr>
    </w:p>
    <w:p w:rsidR="001B75E4" w:rsidRPr="00946012"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August 2019</w:t>
      </w:r>
      <w:r w:rsidR="001B75E4" w:rsidRPr="00946012">
        <w:rPr>
          <w:rFonts w:ascii="Arial" w:hAnsi="Arial" w:cs="Arial"/>
        </w:rPr>
        <w:t xml:space="preserve"> </w:t>
      </w:r>
      <w:r w:rsidR="00C36326">
        <w:rPr>
          <w:rFonts w:ascii="Arial" w:hAnsi="Arial" w:cs="Arial"/>
        </w:rPr>
        <w:t>–</w:t>
      </w:r>
      <w:r w:rsidR="001B75E4" w:rsidRPr="00946012">
        <w:rPr>
          <w:rFonts w:ascii="Arial" w:hAnsi="Arial" w:cs="Arial"/>
        </w:rPr>
        <w:t xml:space="preserve"> </w:t>
      </w:r>
      <w:r w:rsidR="00C36326">
        <w:rPr>
          <w:rFonts w:ascii="Arial" w:hAnsi="Arial" w:cs="Arial"/>
        </w:rPr>
        <w:t>Joint s</w:t>
      </w:r>
      <w:r w:rsidR="00E80598" w:rsidRPr="00946012">
        <w:rPr>
          <w:rFonts w:ascii="Arial" w:hAnsi="Arial" w:cs="Arial"/>
        </w:rPr>
        <w:t xml:space="preserve">trategic planning session </w:t>
      </w:r>
      <w:r w:rsidR="00C36326">
        <w:rPr>
          <w:rFonts w:ascii="Arial" w:hAnsi="Arial" w:cs="Arial"/>
        </w:rPr>
        <w:t xml:space="preserve">of the </w:t>
      </w:r>
      <w:r w:rsidR="00E80598" w:rsidRPr="00946012">
        <w:rPr>
          <w:rFonts w:ascii="Arial" w:hAnsi="Arial" w:cs="Arial"/>
        </w:rPr>
        <w:t xml:space="preserve">Mayoral Committee and </w:t>
      </w:r>
      <w:r w:rsidR="00783675" w:rsidRPr="00946012">
        <w:rPr>
          <w:rFonts w:ascii="Arial" w:hAnsi="Arial" w:cs="Arial"/>
        </w:rPr>
        <w:t>Executive Management</w:t>
      </w:r>
      <w:r w:rsidR="00C36326">
        <w:rPr>
          <w:rFonts w:ascii="Arial" w:hAnsi="Arial" w:cs="Arial"/>
        </w:rPr>
        <w:t xml:space="preserve">. </w:t>
      </w:r>
      <w:r w:rsidR="000E381F">
        <w:rPr>
          <w:rFonts w:ascii="Arial" w:hAnsi="Arial" w:cs="Arial"/>
        </w:rPr>
        <w:t xml:space="preserve"> </w:t>
      </w:r>
      <w:r w:rsidR="00C36326">
        <w:rPr>
          <w:rFonts w:ascii="Arial" w:hAnsi="Arial" w:cs="Arial"/>
        </w:rPr>
        <w:t>Aim: to</w:t>
      </w:r>
      <w:r w:rsidR="00783675" w:rsidRPr="00946012">
        <w:rPr>
          <w:rFonts w:ascii="Arial" w:hAnsi="Arial" w:cs="Arial"/>
        </w:rPr>
        <w:t xml:space="preserve"> review past performance trends of the capital and operating budgets, </w:t>
      </w:r>
      <w:r w:rsidR="00C36326">
        <w:rPr>
          <w:rFonts w:ascii="Arial" w:hAnsi="Arial" w:cs="Arial"/>
        </w:rPr>
        <w:t xml:space="preserve">the </w:t>
      </w:r>
      <w:r w:rsidR="00783675" w:rsidRPr="00946012">
        <w:rPr>
          <w:rFonts w:ascii="Arial" w:hAnsi="Arial" w:cs="Arial"/>
        </w:rPr>
        <w:t xml:space="preserve">economic realities and </w:t>
      </w:r>
      <w:r w:rsidR="00C36326">
        <w:rPr>
          <w:rFonts w:ascii="Arial" w:hAnsi="Arial" w:cs="Arial"/>
        </w:rPr>
        <w:t xml:space="preserve">to </w:t>
      </w:r>
      <w:r w:rsidR="00783675" w:rsidRPr="00946012">
        <w:rPr>
          <w:rFonts w:ascii="Arial" w:hAnsi="Arial" w:cs="Arial"/>
        </w:rPr>
        <w:t xml:space="preserve">set the </w:t>
      </w:r>
      <w:proofErr w:type="spellStart"/>
      <w:r w:rsidR="00783675" w:rsidRPr="00946012">
        <w:rPr>
          <w:rFonts w:ascii="Arial" w:hAnsi="Arial" w:cs="Arial"/>
        </w:rPr>
        <w:t>prioritisation</w:t>
      </w:r>
      <w:proofErr w:type="spellEnd"/>
      <w:r w:rsidR="00783675" w:rsidRPr="00946012">
        <w:rPr>
          <w:rFonts w:ascii="Arial" w:hAnsi="Arial" w:cs="Arial"/>
        </w:rPr>
        <w:t xml:space="preserve"> criteria for the c</w:t>
      </w:r>
      <w:r w:rsidR="00CB5BC9">
        <w:rPr>
          <w:rFonts w:ascii="Arial" w:hAnsi="Arial" w:cs="Arial"/>
        </w:rPr>
        <w:t xml:space="preserve">ompilation of the </w:t>
      </w:r>
      <w:r>
        <w:rPr>
          <w:rFonts w:ascii="Arial" w:hAnsi="Arial" w:cs="Arial"/>
        </w:rPr>
        <w:t>2020/21</w:t>
      </w:r>
      <w:r w:rsidR="00946012">
        <w:rPr>
          <w:rFonts w:ascii="Arial" w:hAnsi="Arial" w:cs="Arial"/>
        </w:rPr>
        <w:t xml:space="preserve"> MTREF;</w:t>
      </w:r>
    </w:p>
    <w:p w:rsidR="00783675" w:rsidRPr="00946012"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November 2019</w:t>
      </w:r>
      <w:r w:rsidR="001B75E4" w:rsidRPr="00946012">
        <w:rPr>
          <w:rFonts w:ascii="Arial" w:hAnsi="Arial" w:cs="Arial"/>
        </w:rPr>
        <w:t xml:space="preserve"> </w:t>
      </w:r>
      <w:r w:rsidR="00C36326">
        <w:rPr>
          <w:rFonts w:ascii="Arial" w:hAnsi="Arial" w:cs="Arial"/>
        </w:rPr>
        <w:t>–</w:t>
      </w:r>
      <w:r w:rsidR="001B75E4" w:rsidRPr="00946012">
        <w:rPr>
          <w:rFonts w:ascii="Arial" w:hAnsi="Arial" w:cs="Arial"/>
        </w:rPr>
        <w:t xml:space="preserve"> </w:t>
      </w:r>
      <w:r w:rsidR="00C36326">
        <w:rPr>
          <w:rFonts w:ascii="Arial" w:hAnsi="Arial" w:cs="Arial"/>
        </w:rPr>
        <w:t>Detail d</w:t>
      </w:r>
      <w:r w:rsidR="00783675" w:rsidRPr="00946012">
        <w:rPr>
          <w:rFonts w:ascii="Arial" w:hAnsi="Arial" w:cs="Arial"/>
        </w:rPr>
        <w:t>epartmental budget proposals (capital and operating) submitted to the Budget and Treasury Office for consolidation</w:t>
      </w:r>
      <w:r w:rsidR="001B75E4" w:rsidRPr="00946012">
        <w:rPr>
          <w:rFonts w:ascii="Arial" w:hAnsi="Arial" w:cs="Arial"/>
        </w:rPr>
        <w:t xml:space="preserve"> </w:t>
      </w:r>
      <w:r w:rsidR="00C36326">
        <w:rPr>
          <w:rFonts w:ascii="Arial" w:hAnsi="Arial" w:cs="Arial"/>
        </w:rPr>
        <w:t xml:space="preserve">and assessment against the </w:t>
      </w:r>
      <w:r w:rsidR="001B75E4" w:rsidRPr="00946012">
        <w:rPr>
          <w:rFonts w:ascii="Arial" w:hAnsi="Arial" w:cs="Arial"/>
        </w:rPr>
        <w:t>financial planning guidelines</w:t>
      </w:r>
      <w:r w:rsidR="00946012">
        <w:rPr>
          <w:rFonts w:ascii="Arial" w:hAnsi="Arial" w:cs="Arial"/>
        </w:rPr>
        <w:t>;</w:t>
      </w:r>
    </w:p>
    <w:p w:rsidR="00E80598" w:rsidRPr="00946012"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3 to 7 January 2020</w:t>
      </w:r>
      <w:r w:rsidR="001B75E4" w:rsidRPr="00946012">
        <w:rPr>
          <w:rFonts w:ascii="Arial" w:hAnsi="Arial" w:cs="Arial"/>
        </w:rPr>
        <w:t xml:space="preserve">- </w:t>
      </w:r>
      <w:r w:rsidR="00E80598" w:rsidRPr="00946012">
        <w:rPr>
          <w:rFonts w:ascii="Arial" w:hAnsi="Arial" w:cs="Arial"/>
        </w:rPr>
        <w:t>Review of the financial strategy and key economic and financial planning assumptions</w:t>
      </w:r>
      <w:r w:rsidR="00783675" w:rsidRPr="00946012">
        <w:rPr>
          <w:rFonts w:ascii="Arial" w:hAnsi="Arial" w:cs="Arial"/>
        </w:rPr>
        <w:t xml:space="preserve"> by the Budget Steering Committee.</w:t>
      </w:r>
      <w:r w:rsidR="000E381F">
        <w:rPr>
          <w:rFonts w:ascii="Arial" w:hAnsi="Arial" w:cs="Arial"/>
        </w:rPr>
        <w:t xml:space="preserve"> </w:t>
      </w:r>
      <w:r w:rsidR="00783675" w:rsidRPr="00946012">
        <w:rPr>
          <w:rFonts w:ascii="Arial" w:hAnsi="Arial" w:cs="Arial"/>
        </w:rPr>
        <w:t xml:space="preserve"> This included financial forecasting and scenario considerations</w:t>
      </w:r>
      <w:r w:rsidR="00946012">
        <w:rPr>
          <w:rFonts w:ascii="Arial" w:hAnsi="Arial" w:cs="Arial"/>
        </w:rPr>
        <w:t>;</w:t>
      </w:r>
    </w:p>
    <w:p w:rsidR="00783675" w:rsidRPr="00946012"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January 2020</w:t>
      </w:r>
      <w:r w:rsidR="001B75E4" w:rsidRPr="00946012">
        <w:rPr>
          <w:rFonts w:ascii="Arial" w:hAnsi="Arial" w:cs="Arial"/>
        </w:rPr>
        <w:t xml:space="preserve"> </w:t>
      </w:r>
      <w:r w:rsidR="00C36326">
        <w:rPr>
          <w:rFonts w:ascii="Arial" w:hAnsi="Arial" w:cs="Arial"/>
        </w:rPr>
        <w:t>–</w:t>
      </w:r>
      <w:r w:rsidR="001B75E4" w:rsidRPr="00946012">
        <w:rPr>
          <w:rFonts w:ascii="Arial" w:hAnsi="Arial" w:cs="Arial"/>
        </w:rPr>
        <w:t xml:space="preserve"> </w:t>
      </w:r>
      <w:r w:rsidR="00783675" w:rsidRPr="00946012">
        <w:rPr>
          <w:rFonts w:ascii="Arial" w:hAnsi="Arial" w:cs="Arial"/>
        </w:rPr>
        <w:t>Multi</w:t>
      </w:r>
      <w:r w:rsidR="00C36326">
        <w:rPr>
          <w:rFonts w:ascii="Arial" w:hAnsi="Arial" w:cs="Arial"/>
        </w:rPr>
        <w:t>-</w:t>
      </w:r>
      <w:r w:rsidR="00783675" w:rsidRPr="00946012">
        <w:rPr>
          <w:rFonts w:ascii="Arial" w:hAnsi="Arial" w:cs="Arial"/>
        </w:rPr>
        <w:t>year budget proposals are submitted to the Mayoral Committee for endorsement</w:t>
      </w:r>
      <w:r w:rsidR="00946012">
        <w:rPr>
          <w:rFonts w:ascii="Arial" w:hAnsi="Arial" w:cs="Arial"/>
        </w:rPr>
        <w:t>;</w:t>
      </w:r>
    </w:p>
    <w:p w:rsidR="00783675" w:rsidRPr="00946012" w:rsidRDefault="00962C25"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25 Janu</w:t>
      </w:r>
      <w:r w:rsidR="004454A3">
        <w:rPr>
          <w:rFonts w:ascii="Arial" w:hAnsi="Arial" w:cs="Arial"/>
          <w:b/>
        </w:rPr>
        <w:t>ary 2020</w:t>
      </w:r>
      <w:r w:rsidR="001B75E4" w:rsidRPr="00946012">
        <w:rPr>
          <w:rFonts w:ascii="Arial" w:hAnsi="Arial" w:cs="Arial"/>
        </w:rPr>
        <w:t xml:space="preserve"> - </w:t>
      </w:r>
      <w:r w:rsidR="00635980">
        <w:rPr>
          <w:rFonts w:ascii="Arial" w:hAnsi="Arial" w:cs="Arial"/>
        </w:rPr>
        <w:t>Council conside</w:t>
      </w:r>
      <w:r w:rsidR="004454A3">
        <w:rPr>
          <w:rFonts w:ascii="Arial" w:hAnsi="Arial" w:cs="Arial"/>
        </w:rPr>
        <w:t>rs the 2019/20</w:t>
      </w:r>
      <w:r w:rsidR="00E80598" w:rsidRPr="00946012">
        <w:rPr>
          <w:rFonts w:ascii="Arial" w:hAnsi="Arial" w:cs="Arial"/>
        </w:rPr>
        <w:t xml:space="preserve"> Mid-year Review and Adjust</w:t>
      </w:r>
      <w:r w:rsidR="00804E6D">
        <w:rPr>
          <w:rFonts w:ascii="Arial" w:hAnsi="Arial" w:cs="Arial"/>
        </w:rPr>
        <w:t>ments</w:t>
      </w:r>
      <w:r w:rsidR="00E80598" w:rsidRPr="00946012">
        <w:rPr>
          <w:rFonts w:ascii="Arial" w:hAnsi="Arial" w:cs="Arial"/>
        </w:rPr>
        <w:t xml:space="preserve"> Budget</w:t>
      </w:r>
      <w:r w:rsidR="00946012">
        <w:rPr>
          <w:rFonts w:ascii="Arial" w:hAnsi="Arial" w:cs="Arial"/>
        </w:rPr>
        <w:t>;</w:t>
      </w:r>
    </w:p>
    <w:p w:rsidR="00783675" w:rsidRPr="00946012" w:rsidRDefault="00D71DBB"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b/>
        </w:rPr>
        <w:t>F</w:t>
      </w:r>
      <w:r w:rsidR="004454A3">
        <w:rPr>
          <w:rFonts w:ascii="Arial" w:hAnsi="Arial" w:cs="Arial"/>
          <w:b/>
        </w:rPr>
        <w:t>ebruary 2020</w:t>
      </w:r>
      <w:r w:rsidRPr="00946012">
        <w:rPr>
          <w:rFonts w:ascii="Arial" w:hAnsi="Arial" w:cs="Arial"/>
        </w:rPr>
        <w:t xml:space="preserve"> - </w:t>
      </w:r>
      <w:r w:rsidR="00783675" w:rsidRPr="00946012">
        <w:rPr>
          <w:rFonts w:ascii="Arial" w:hAnsi="Arial" w:cs="Arial"/>
        </w:rPr>
        <w:t>Recommendations of the Mayoral Committee are communicated to the</w:t>
      </w:r>
      <w:r w:rsidR="00804E6D">
        <w:rPr>
          <w:rFonts w:ascii="Arial" w:hAnsi="Arial" w:cs="Arial"/>
        </w:rPr>
        <w:t xml:space="preserve"> Budget Steering Committee, and on to the</w:t>
      </w:r>
      <w:r w:rsidR="00783675" w:rsidRPr="00946012">
        <w:rPr>
          <w:rFonts w:ascii="Arial" w:hAnsi="Arial" w:cs="Arial"/>
        </w:rPr>
        <w:t xml:space="preserve"> respective departments</w:t>
      </w:r>
      <w:r w:rsidR="00804E6D">
        <w:rPr>
          <w:rFonts w:ascii="Arial" w:hAnsi="Arial" w:cs="Arial"/>
        </w:rPr>
        <w:t xml:space="preserve">. </w:t>
      </w:r>
      <w:r w:rsidR="000E381F">
        <w:rPr>
          <w:rFonts w:ascii="Arial" w:hAnsi="Arial" w:cs="Arial"/>
        </w:rPr>
        <w:t xml:space="preserve"> </w:t>
      </w:r>
      <w:r w:rsidR="00962C25">
        <w:rPr>
          <w:rFonts w:ascii="Arial" w:hAnsi="Arial" w:cs="Arial"/>
        </w:rPr>
        <w:t>The</w:t>
      </w:r>
      <w:r w:rsidR="00804E6D">
        <w:rPr>
          <w:rFonts w:ascii="Arial" w:hAnsi="Arial" w:cs="Arial"/>
        </w:rPr>
        <w:t xml:space="preserve"> </w:t>
      </w:r>
      <w:r w:rsidR="004454A3">
        <w:rPr>
          <w:rFonts w:ascii="Arial" w:hAnsi="Arial" w:cs="Arial"/>
        </w:rPr>
        <w:t>2019/20</w:t>
      </w:r>
      <w:r w:rsidR="00783675" w:rsidRPr="00946012">
        <w:rPr>
          <w:rFonts w:ascii="Arial" w:hAnsi="Arial" w:cs="Arial"/>
        </w:rPr>
        <w:t xml:space="preserve"> MTREF</w:t>
      </w:r>
      <w:r w:rsidR="00804E6D">
        <w:rPr>
          <w:rFonts w:ascii="Arial" w:hAnsi="Arial" w:cs="Arial"/>
        </w:rPr>
        <w:t xml:space="preserve"> is revised accordingly</w:t>
      </w:r>
      <w:r w:rsidR="00946012">
        <w:rPr>
          <w:rFonts w:ascii="Arial" w:hAnsi="Arial" w:cs="Arial"/>
        </w:rPr>
        <w:t>;</w:t>
      </w:r>
    </w:p>
    <w:p w:rsidR="00E80598" w:rsidRPr="00946012" w:rsidRDefault="00635980"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31</w:t>
      </w:r>
      <w:r w:rsidR="004454A3">
        <w:rPr>
          <w:rFonts w:ascii="Arial" w:hAnsi="Arial" w:cs="Arial"/>
          <w:b/>
        </w:rPr>
        <w:t xml:space="preserve"> March 2020</w:t>
      </w:r>
      <w:r w:rsidR="00D71DBB" w:rsidRPr="00946012">
        <w:rPr>
          <w:rFonts w:ascii="Arial" w:hAnsi="Arial" w:cs="Arial"/>
        </w:rPr>
        <w:t xml:space="preserve"> - </w:t>
      </w:r>
      <w:r w:rsidR="00E80598" w:rsidRPr="00946012">
        <w:rPr>
          <w:rFonts w:ascii="Arial" w:hAnsi="Arial" w:cs="Arial"/>
        </w:rPr>
        <w:t xml:space="preserve">Tabling </w:t>
      </w:r>
      <w:r w:rsidR="00804E6D">
        <w:rPr>
          <w:rFonts w:ascii="Arial" w:hAnsi="Arial" w:cs="Arial"/>
        </w:rPr>
        <w:t xml:space="preserve">in </w:t>
      </w:r>
      <w:r w:rsidR="00E80598" w:rsidRPr="00946012">
        <w:rPr>
          <w:rFonts w:ascii="Arial" w:hAnsi="Arial" w:cs="Arial"/>
        </w:rPr>
        <w:t>Council</w:t>
      </w:r>
      <w:r w:rsidR="00BC54DE">
        <w:rPr>
          <w:rFonts w:ascii="Arial" w:hAnsi="Arial" w:cs="Arial"/>
        </w:rPr>
        <w:t xml:space="preserve"> </w:t>
      </w:r>
      <w:r w:rsidR="00804E6D">
        <w:rPr>
          <w:rFonts w:ascii="Arial" w:hAnsi="Arial" w:cs="Arial"/>
        </w:rPr>
        <w:t xml:space="preserve">of the </w:t>
      </w:r>
      <w:r w:rsidR="00CB5BC9">
        <w:rPr>
          <w:rFonts w:ascii="Arial" w:hAnsi="Arial" w:cs="Arial"/>
        </w:rPr>
        <w:t xml:space="preserve">draft </w:t>
      </w:r>
      <w:r w:rsidR="004454A3">
        <w:rPr>
          <w:rFonts w:ascii="Arial" w:hAnsi="Arial" w:cs="Arial"/>
        </w:rPr>
        <w:t>2020/21</w:t>
      </w:r>
      <w:r w:rsidR="00E80598" w:rsidRPr="00946012">
        <w:rPr>
          <w:rFonts w:ascii="Arial" w:hAnsi="Arial" w:cs="Arial"/>
        </w:rPr>
        <w:t xml:space="preserve"> IDP an</w:t>
      </w:r>
      <w:r w:rsidR="00CB5BC9">
        <w:rPr>
          <w:rFonts w:ascii="Arial" w:hAnsi="Arial" w:cs="Arial"/>
        </w:rPr>
        <w:t xml:space="preserve">d </w:t>
      </w:r>
      <w:r w:rsidR="004454A3">
        <w:rPr>
          <w:rFonts w:ascii="Arial" w:hAnsi="Arial" w:cs="Arial"/>
        </w:rPr>
        <w:t>2020/21</w:t>
      </w:r>
      <w:r w:rsidR="00D71DBB" w:rsidRPr="00946012">
        <w:rPr>
          <w:rFonts w:ascii="Arial" w:hAnsi="Arial" w:cs="Arial"/>
        </w:rPr>
        <w:t xml:space="preserve"> MTREF</w:t>
      </w:r>
      <w:r w:rsidR="00804E6D">
        <w:rPr>
          <w:rFonts w:ascii="Arial" w:hAnsi="Arial" w:cs="Arial"/>
        </w:rPr>
        <w:t xml:space="preserve"> for public consultation</w:t>
      </w:r>
      <w:r w:rsidR="00946012">
        <w:rPr>
          <w:rFonts w:ascii="Arial" w:hAnsi="Arial" w:cs="Arial"/>
        </w:rPr>
        <w:t>;</w:t>
      </w:r>
    </w:p>
    <w:p w:rsidR="00E80598" w:rsidRPr="00946012"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April 2020</w:t>
      </w:r>
      <w:r w:rsidR="00D71DBB" w:rsidRPr="00946012">
        <w:rPr>
          <w:rFonts w:ascii="Arial" w:hAnsi="Arial" w:cs="Arial"/>
        </w:rPr>
        <w:t>– Public consultation</w:t>
      </w:r>
      <w:r w:rsidR="00946012">
        <w:rPr>
          <w:rFonts w:ascii="Arial" w:hAnsi="Arial" w:cs="Arial"/>
        </w:rPr>
        <w:t>;</w:t>
      </w:r>
    </w:p>
    <w:p w:rsidR="00804E6D"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 xml:space="preserve"> May 2020</w:t>
      </w:r>
      <w:r w:rsidR="00D71DBB" w:rsidRPr="00946012">
        <w:rPr>
          <w:rFonts w:ascii="Arial" w:hAnsi="Arial" w:cs="Arial"/>
        </w:rPr>
        <w:t xml:space="preserve">- </w:t>
      </w:r>
      <w:r w:rsidR="00E80598" w:rsidRPr="00946012">
        <w:rPr>
          <w:rFonts w:ascii="Arial" w:hAnsi="Arial" w:cs="Arial"/>
        </w:rPr>
        <w:t>Closing date for written comments</w:t>
      </w:r>
      <w:r w:rsidR="00804E6D">
        <w:rPr>
          <w:rFonts w:ascii="Arial" w:hAnsi="Arial" w:cs="Arial"/>
        </w:rPr>
        <w:t>;</w:t>
      </w:r>
    </w:p>
    <w:p w:rsidR="00E80598" w:rsidRPr="00946012" w:rsidRDefault="00CB5BC9"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 xml:space="preserve">6 </w:t>
      </w:r>
      <w:r w:rsidR="00804E6D" w:rsidRPr="00804E6D">
        <w:rPr>
          <w:rFonts w:ascii="Arial" w:hAnsi="Arial" w:cs="Arial"/>
          <w:b/>
        </w:rPr>
        <w:t>to 21 May</w:t>
      </w:r>
      <w:r w:rsidR="00804E6D">
        <w:rPr>
          <w:rFonts w:ascii="Arial" w:hAnsi="Arial" w:cs="Arial"/>
        </w:rPr>
        <w:t xml:space="preserve"> </w:t>
      </w:r>
      <w:r w:rsidR="004454A3">
        <w:rPr>
          <w:rFonts w:ascii="Arial" w:hAnsi="Arial" w:cs="Arial"/>
          <w:b/>
        </w:rPr>
        <w:t>2020</w:t>
      </w:r>
      <w:r w:rsidR="00804E6D" w:rsidRPr="00804E6D">
        <w:rPr>
          <w:rFonts w:ascii="Arial" w:hAnsi="Arial" w:cs="Arial"/>
        </w:rPr>
        <w:t xml:space="preserve"> </w:t>
      </w:r>
      <w:r w:rsidR="00804E6D">
        <w:rPr>
          <w:rFonts w:ascii="Arial" w:hAnsi="Arial" w:cs="Arial"/>
        </w:rPr>
        <w:t>–</w:t>
      </w:r>
      <w:r w:rsidR="00804E6D" w:rsidRPr="00804E6D">
        <w:rPr>
          <w:rFonts w:ascii="Arial" w:hAnsi="Arial" w:cs="Arial"/>
        </w:rPr>
        <w:t xml:space="preserve"> </w:t>
      </w:r>
      <w:proofErr w:type="spellStart"/>
      <w:r w:rsidR="00804E6D">
        <w:rPr>
          <w:rFonts w:ascii="Arial" w:hAnsi="Arial" w:cs="Arial"/>
        </w:rPr>
        <w:t>finalisation</w:t>
      </w:r>
      <w:proofErr w:type="spellEnd"/>
      <w:r w:rsidR="00804E6D">
        <w:rPr>
          <w:rFonts w:ascii="Arial" w:hAnsi="Arial" w:cs="Arial"/>
        </w:rPr>
        <w:t xml:space="preserve"> of the </w:t>
      </w:r>
      <w:r w:rsidR="004454A3">
        <w:rPr>
          <w:rFonts w:ascii="Arial" w:hAnsi="Arial" w:cs="Arial"/>
        </w:rPr>
        <w:t>2020/21</w:t>
      </w:r>
      <w:r>
        <w:rPr>
          <w:rFonts w:ascii="Arial" w:hAnsi="Arial" w:cs="Arial"/>
        </w:rPr>
        <w:t xml:space="preserve"> IDP and </w:t>
      </w:r>
      <w:r w:rsidR="004454A3">
        <w:rPr>
          <w:rFonts w:ascii="Arial" w:hAnsi="Arial" w:cs="Arial"/>
        </w:rPr>
        <w:t>2020/21</w:t>
      </w:r>
      <w:r w:rsidR="00804E6D" w:rsidRPr="00946012">
        <w:rPr>
          <w:rFonts w:ascii="Arial" w:hAnsi="Arial" w:cs="Arial"/>
        </w:rPr>
        <w:t xml:space="preserve"> MTREF</w:t>
      </w:r>
      <w:r w:rsidR="00804E6D">
        <w:rPr>
          <w:rFonts w:ascii="Arial" w:hAnsi="Arial" w:cs="Arial"/>
        </w:rPr>
        <w:t>, taking into consideration comments received from the public, comments from National Treasury, and updated information from the most recent Division of Revenue Bill and financial framework</w:t>
      </w:r>
      <w:r w:rsidR="00946012">
        <w:rPr>
          <w:rFonts w:ascii="Arial" w:hAnsi="Arial" w:cs="Arial"/>
        </w:rPr>
        <w:t>; and</w:t>
      </w:r>
    </w:p>
    <w:p w:rsidR="00E80598" w:rsidRPr="00946012" w:rsidRDefault="004454A3"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b/>
        </w:rPr>
        <w:t>31 May 2020</w:t>
      </w:r>
      <w:r w:rsidR="00D71DBB" w:rsidRPr="00946012">
        <w:rPr>
          <w:rFonts w:ascii="Arial" w:hAnsi="Arial" w:cs="Arial"/>
        </w:rPr>
        <w:t xml:space="preserve"> - </w:t>
      </w:r>
      <w:r w:rsidR="00CB5BC9">
        <w:rPr>
          <w:rFonts w:ascii="Arial" w:hAnsi="Arial" w:cs="Arial"/>
        </w:rPr>
        <w:t xml:space="preserve">Tabling of the </w:t>
      </w:r>
      <w:r>
        <w:rPr>
          <w:rFonts w:ascii="Arial" w:hAnsi="Arial" w:cs="Arial"/>
        </w:rPr>
        <w:t>2020/21</w:t>
      </w:r>
      <w:r w:rsidR="00E80598" w:rsidRPr="00946012">
        <w:rPr>
          <w:rFonts w:ascii="Arial" w:hAnsi="Arial" w:cs="Arial"/>
        </w:rPr>
        <w:t xml:space="preserve"> MTREF before Council for consideration and approval</w:t>
      </w:r>
      <w:r w:rsidR="00946012">
        <w:rPr>
          <w:rFonts w:ascii="Arial" w:hAnsi="Arial" w:cs="Arial"/>
        </w:rPr>
        <w:t>.</w:t>
      </w:r>
    </w:p>
    <w:p w:rsidR="006D559A" w:rsidRPr="00FE1212" w:rsidRDefault="006D559A" w:rsidP="00FE1212">
      <w:pPr>
        <w:spacing w:after="0" w:line="240" w:lineRule="auto"/>
        <w:jc w:val="both"/>
        <w:rPr>
          <w:rFonts w:ascii="Arial" w:eastAsia="Times New Roman" w:hAnsi="Arial" w:cs="Arial"/>
          <w:lang w:val="en-GB"/>
        </w:rPr>
      </w:pPr>
    </w:p>
    <w:p w:rsidR="006D559A" w:rsidRPr="00FE1212" w:rsidRDefault="006D559A" w:rsidP="00FE1212">
      <w:pPr>
        <w:spacing w:after="0" w:line="240" w:lineRule="auto"/>
        <w:jc w:val="both"/>
        <w:rPr>
          <w:rFonts w:ascii="Arial" w:eastAsia="Times New Roman" w:hAnsi="Arial" w:cs="Arial"/>
          <w:lang w:val="en-GB"/>
        </w:rPr>
      </w:pPr>
    </w:p>
    <w:p w:rsidR="001B75E4" w:rsidRPr="00FE1212" w:rsidRDefault="001B75E4" w:rsidP="00FE1212">
      <w:pPr>
        <w:spacing w:after="0" w:line="240" w:lineRule="auto"/>
        <w:jc w:val="both"/>
        <w:rPr>
          <w:rFonts w:ascii="Arial" w:eastAsia="Times New Roman" w:hAnsi="Arial" w:cs="Arial"/>
          <w:lang w:val="en-GB"/>
        </w:rPr>
      </w:pPr>
    </w:p>
    <w:p w:rsidR="006D559A" w:rsidRPr="008D6BA7" w:rsidRDefault="001268DE" w:rsidP="008D6BA7">
      <w:pPr>
        <w:pStyle w:val="Heading3"/>
        <w:rPr>
          <w:rFonts w:ascii="Arial" w:hAnsi="Arial" w:cs="Arial"/>
          <w:color w:val="auto"/>
        </w:rPr>
      </w:pPr>
      <w:bookmarkStart w:id="89" w:name="_Toc286034104"/>
      <w:bookmarkStart w:id="90" w:name="_Toc286034695"/>
      <w:r>
        <w:rPr>
          <w:rFonts w:ascii="Arial" w:hAnsi="Arial" w:cs="Arial"/>
          <w:color w:val="auto"/>
        </w:rPr>
        <w:t>IDP</w:t>
      </w:r>
      <w:r w:rsidR="00FE1212" w:rsidRPr="008D6BA7">
        <w:rPr>
          <w:rFonts w:ascii="Arial" w:hAnsi="Arial" w:cs="Arial"/>
          <w:color w:val="auto"/>
        </w:rPr>
        <w:t xml:space="preserve"> and Service Delivery and Budget Implementation Plan</w:t>
      </w:r>
      <w:bookmarkEnd w:id="89"/>
      <w:bookmarkEnd w:id="90"/>
    </w:p>
    <w:p w:rsidR="006D559A" w:rsidRPr="00FE1212" w:rsidRDefault="006D559A" w:rsidP="00FE1212">
      <w:pPr>
        <w:spacing w:after="0" w:line="240" w:lineRule="auto"/>
        <w:jc w:val="both"/>
        <w:rPr>
          <w:rFonts w:ascii="Arial" w:eastAsia="Times New Roman" w:hAnsi="Arial" w:cs="Arial"/>
          <w:lang w:val="en-GB"/>
        </w:rPr>
      </w:pPr>
    </w:p>
    <w:p w:rsidR="00BB46D6" w:rsidRDefault="00BB46D6"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Th</w:t>
      </w:r>
      <w:r w:rsidR="004454A3">
        <w:rPr>
          <w:rFonts w:ascii="Arial" w:eastAsia="Times New Roman" w:hAnsi="Arial" w:cs="Arial"/>
          <w:lang w:val="en-GB"/>
        </w:rPr>
        <w:t>is is the third</w:t>
      </w:r>
      <w:r w:rsidR="002152F6" w:rsidRPr="00FE1212">
        <w:rPr>
          <w:rFonts w:ascii="Arial" w:eastAsia="Times New Roman" w:hAnsi="Arial" w:cs="Arial"/>
          <w:lang w:val="en-GB"/>
        </w:rPr>
        <w:t xml:space="preserve"> review of the </w:t>
      </w:r>
      <w:r w:rsidR="001268DE">
        <w:rPr>
          <w:rFonts w:ascii="Arial" w:eastAsia="Times New Roman" w:hAnsi="Arial" w:cs="Arial"/>
          <w:lang w:val="en-GB"/>
        </w:rPr>
        <w:t>IDP</w:t>
      </w:r>
      <w:r w:rsidR="002152F6" w:rsidRPr="00FE1212">
        <w:rPr>
          <w:rFonts w:ascii="Arial" w:eastAsia="Times New Roman" w:hAnsi="Arial" w:cs="Arial"/>
          <w:lang w:val="en-GB"/>
        </w:rPr>
        <w:t xml:space="preserve"> a</w:t>
      </w:r>
      <w:r w:rsidR="00962C25">
        <w:rPr>
          <w:rFonts w:ascii="Arial" w:eastAsia="Times New Roman" w:hAnsi="Arial" w:cs="Arial"/>
          <w:lang w:val="en-GB"/>
        </w:rPr>
        <w:t>s adopted by Council in May 2017</w:t>
      </w:r>
      <w:r w:rsidR="002152F6" w:rsidRPr="00FE1212">
        <w:rPr>
          <w:rFonts w:ascii="Arial" w:eastAsia="Times New Roman" w:hAnsi="Arial" w:cs="Arial"/>
          <w:lang w:val="en-GB"/>
        </w:rPr>
        <w:t>.</w:t>
      </w:r>
      <w:r w:rsidRPr="00FE1212">
        <w:rPr>
          <w:rFonts w:ascii="Arial" w:eastAsia="Times New Roman" w:hAnsi="Arial" w:cs="Arial"/>
          <w:lang w:val="en-GB"/>
        </w:rPr>
        <w:t xml:space="preserve"> </w:t>
      </w:r>
      <w:r w:rsidR="001268DE">
        <w:rPr>
          <w:rFonts w:ascii="Arial" w:eastAsia="Times New Roman" w:hAnsi="Arial" w:cs="Arial"/>
          <w:lang w:val="en-GB"/>
        </w:rPr>
        <w:t xml:space="preserve"> I</w:t>
      </w:r>
      <w:r w:rsidR="002242DE">
        <w:rPr>
          <w:rFonts w:ascii="Arial" w:eastAsia="Times New Roman" w:hAnsi="Arial" w:cs="Arial"/>
          <w:lang w:val="en-GB"/>
        </w:rPr>
        <w:t>t started in</w:t>
      </w:r>
      <w:r w:rsidRPr="00FE1212">
        <w:rPr>
          <w:rFonts w:ascii="Arial" w:eastAsia="Times New Roman" w:hAnsi="Arial" w:cs="Arial"/>
          <w:lang w:val="en-GB"/>
        </w:rPr>
        <w:t xml:space="preserve"> September 20</w:t>
      </w:r>
      <w:r w:rsidR="00962C25">
        <w:rPr>
          <w:rFonts w:ascii="Arial" w:eastAsia="Times New Roman" w:hAnsi="Arial" w:cs="Arial"/>
          <w:lang w:val="en-GB"/>
        </w:rPr>
        <w:t>16</w:t>
      </w:r>
      <w:r w:rsidRPr="00FE1212">
        <w:rPr>
          <w:rFonts w:ascii="Arial" w:eastAsia="Times New Roman" w:hAnsi="Arial" w:cs="Arial"/>
          <w:lang w:val="en-GB"/>
        </w:rPr>
        <w:t xml:space="preserve"> after the </w:t>
      </w:r>
      <w:r w:rsidR="002242DE">
        <w:rPr>
          <w:rFonts w:ascii="Arial" w:eastAsia="Times New Roman" w:hAnsi="Arial" w:cs="Arial"/>
          <w:lang w:val="en-GB"/>
        </w:rPr>
        <w:t xml:space="preserve">tabling of the </w:t>
      </w:r>
      <w:r w:rsidRPr="00FE1212">
        <w:rPr>
          <w:rFonts w:ascii="Arial" w:eastAsia="Times New Roman" w:hAnsi="Arial" w:cs="Arial"/>
          <w:lang w:val="en-GB"/>
        </w:rPr>
        <w:t>IDP Process Plan and the Budget Time</w:t>
      </w:r>
      <w:r w:rsidR="002242DE">
        <w:rPr>
          <w:rFonts w:ascii="Arial" w:eastAsia="Times New Roman" w:hAnsi="Arial" w:cs="Arial"/>
          <w:lang w:val="en-GB"/>
        </w:rPr>
        <w:t xml:space="preserve"> Sc</w:t>
      </w:r>
      <w:r w:rsidRPr="00FE1212">
        <w:rPr>
          <w:rFonts w:ascii="Arial" w:eastAsia="Times New Roman" w:hAnsi="Arial" w:cs="Arial"/>
          <w:lang w:val="en-GB"/>
        </w:rPr>
        <w:t>hedule for</w:t>
      </w:r>
      <w:r w:rsidR="00BC54DE">
        <w:rPr>
          <w:rFonts w:ascii="Arial" w:eastAsia="Times New Roman" w:hAnsi="Arial" w:cs="Arial"/>
          <w:lang w:val="en-GB"/>
        </w:rPr>
        <w:t xml:space="preserve"> the</w:t>
      </w:r>
      <w:r w:rsidRPr="00FE1212">
        <w:rPr>
          <w:rFonts w:ascii="Arial" w:eastAsia="Times New Roman" w:hAnsi="Arial" w:cs="Arial"/>
          <w:lang w:val="en-GB"/>
        </w:rPr>
        <w:t xml:space="preserve"> </w:t>
      </w:r>
      <w:r w:rsidR="004454A3">
        <w:rPr>
          <w:rFonts w:ascii="Arial" w:eastAsia="Times New Roman" w:hAnsi="Arial" w:cs="Arial"/>
          <w:lang w:val="en-GB"/>
        </w:rPr>
        <w:t>2019/20</w:t>
      </w:r>
      <w:r w:rsidR="002152F6" w:rsidRPr="00FE1212">
        <w:rPr>
          <w:rFonts w:ascii="Arial" w:eastAsia="Times New Roman" w:hAnsi="Arial" w:cs="Arial"/>
          <w:lang w:val="en-GB"/>
        </w:rPr>
        <w:t xml:space="preserve"> M</w:t>
      </w:r>
      <w:r w:rsidR="002242DE">
        <w:rPr>
          <w:rFonts w:ascii="Arial" w:eastAsia="Times New Roman" w:hAnsi="Arial" w:cs="Arial"/>
          <w:lang w:val="en-GB"/>
        </w:rPr>
        <w:t>TREF</w:t>
      </w:r>
      <w:r w:rsidR="002152F6" w:rsidRPr="00FE1212">
        <w:rPr>
          <w:rFonts w:ascii="Arial" w:eastAsia="Times New Roman" w:hAnsi="Arial" w:cs="Arial"/>
          <w:lang w:val="en-GB"/>
        </w:rPr>
        <w:t xml:space="preserve"> in </w:t>
      </w:r>
      <w:r w:rsidR="00946012">
        <w:rPr>
          <w:rFonts w:ascii="Arial" w:eastAsia="Times New Roman" w:hAnsi="Arial" w:cs="Arial"/>
          <w:lang w:val="en-GB"/>
        </w:rPr>
        <w:t>August</w:t>
      </w:r>
      <w:r w:rsidR="002242DE">
        <w:rPr>
          <w:rFonts w:ascii="Arial" w:eastAsia="Times New Roman" w:hAnsi="Arial" w:cs="Arial"/>
          <w:lang w:val="en-GB"/>
        </w:rPr>
        <w:t>.</w:t>
      </w:r>
    </w:p>
    <w:p w:rsidR="00FE1212" w:rsidRPr="00FE1212" w:rsidRDefault="00FE1212" w:rsidP="00FE1212">
      <w:pPr>
        <w:spacing w:after="0" w:line="240" w:lineRule="auto"/>
        <w:jc w:val="both"/>
        <w:rPr>
          <w:rFonts w:ascii="Arial" w:eastAsia="Times New Roman" w:hAnsi="Arial" w:cs="Arial"/>
          <w:lang w:val="en-GB"/>
        </w:rPr>
      </w:pPr>
    </w:p>
    <w:p w:rsidR="00BB46D6" w:rsidRDefault="0098448D"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w:t>
      </w:r>
      <w:r w:rsidR="00CB5BC9">
        <w:rPr>
          <w:rFonts w:ascii="Arial" w:eastAsia="Times New Roman" w:hAnsi="Arial" w:cs="Arial"/>
          <w:lang w:val="en-GB"/>
        </w:rPr>
        <w:t>Municipality</w:t>
      </w:r>
      <w:r w:rsidRPr="00FE1212">
        <w:rPr>
          <w:rFonts w:ascii="Arial" w:eastAsia="Times New Roman" w:hAnsi="Arial" w:cs="Arial"/>
          <w:lang w:val="en-GB"/>
        </w:rPr>
        <w:t xml:space="preserve"> IDP is its principal strategic planning instrument, which directly guides and informs its planning, </w:t>
      </w:r>
      <w:r w:rsidR="002242DE">
        <w:rPr>
          <w:rFonts w:ascii="Arial" w:eastAsia="Times New Roman" w:hAnsi="Arial" w:cs="Arial"/>
          <w:lang w:val="en-GB"/>
        </w:rPr>
        <w:t xml:space="preserve">budget, </w:t>
      </w:r>
      <w:r w:rsidRPr="00FE1212">
        <w:rPr>
          <w:rFonts w:ascii="Arial" w:eastAsia="Times New Roman" w:hAnsi="Arial" w:cs="Arial"/>
          <w:lang w:val="en-GB"/>
        </w:rPr>
        <w:t>management and development actions.</w:t>
      </w:r>
      <w:r w:rsidR="000E381F">
        <w:rPr>
          <w:rFonts w:ascii="Arial" w:eastAsia="Times New Roman" w:hAnsi="Arial" w:cs="Arial"/>
          <w:lang w:val="en-GB"/>
        </w:rPr>
        <w:t xml:space="preserve"> </w:t>
      </w:r>
      <w:r w:rsidRPr="00FE1212">
        <w:rPr>
          <w:rFonts w:ascii="Arial" w:eastAsia="Times New Roman" w:hAnsi="Arial" w:cs="Arial"/>
          <w:lang w:val="en-GB"/>
        </w:rPr>
        <w:t xml:space="preserve"> This framework is rolled out into objectives, key performance indicators and targets for implementation</w:t>
      </w:r>
      <w:r w:rsidR="006D559A" w:rsidRPr="00FE1212">
        <w:rPr>
          <w:rFonts w:ascii="Arial" w:eastAsia="Times New Roman" w:hAnsi="Arial" w:cs="Arial"/>
          <w:lang w:val="en-GB"/>
        </w:rPr>
        <w:t xml:space="preserve"> which directly inform the Service Delivery and Budget Implementation Plan</w:t>
      </w:r>
      <w:r w:rsidRPr="00FE1212">
        <w:rPr>
          <w:rFonts w:ascii="Arial" w:eastAsia="Times New Roman" w:hAnsi="Arial" w:cs="Arial"/>
          <w:lang w:val="en-GB"/>
        </w:rPr>
        <w:t xml:space="preserve">. </w:t>
      </w:r>
      <w:r w:rsidR="000E381F">
        <w:rPr>
          <w:rFonts w:ascii="Arial" w:eastAsia="Times New Roman" w:hAnsi="Arial" w:cs="Arial"/>
          <w:lang w:val="en-GB"/>
        </w:rPr>
        <w:t xml:space="preserve"> </w:t>
      </w:r>
      <w:r w:rsidR="00BB46D6" w:rsidRPr="00FE1212">
        <w:rPr>
          <w:rFonts w:ascii="Arial" w:eastAsia="Times New Roman" w:hAnsi="Arial" w:cs="Arial"/>
          <w:lang w:val="en-GB"/>
        </w:rPr>
        <w:t>The Process Plan applicable to the fourth revision cycle include</w:t>
      </w:r>
      <w:r w:rsidR="002242DE">
        <w:rPr>
          <w:rFonts w:ascii="Arial" w:eastAsia="Times New Roman" w:hAnsi="Arial" w:cs="Arial"/>
          <w:lang w:val="en-GB"/>
        </w:rPr>
        <w:t>d</w:t>
      </w:r>
      <w:r w:rsidR="00BB46D6" w:rsidRPr="00FE1212">
        <w:rPr>
          <w:rFonts w:ascii="Arial" w:eastAsia="Times New Roman" w:hAnsi="Arial" w:cs="Arial"/>
          <w:lang w:val="en-GB"/>
        </w:rPr>
        <w:t xml:space="preserve"> the following key IDP processes</w:t>
      </w:r>
      <w:r w:rsidRPr="00FE1212">
        <w:rPr>
          <w:rFonts w:ascii="Arial" w:eastAsia="Times New Roman" w:hAnsi="Arial" w:cs="Arial"/>
          <w:lang w:val="en-GB"/>
        </w:rPr>
        <w:t xml:space="preserve"> and deliverables</w:t>
      </w:r>
      <w:r w:rsidR="00BB46D6" w:rsidRPr="00FE1212">
        <w:rPr>
          <w:rFonts w:ascii="Arial" w:eastAsia="Times New Roman" w:hAnsi="Arial" w:cs="Arial"/>
          <w:lang w:val="en-GB"/>
        </w:rPr>
        <w:t>:</w:t>
      </w:r>
    </w:p>
    <w:p w:rsidR="00FE1212" w:rsidRPr="00FE1212" w:rsidRDefault="00FE1212" w:rsidP="00FE1212">
      <w:pPr>
        <w:spacing w:after="0" w:line="240" w:lineRule="auto"/>
        <w:jc w:val="both"/>
        <w:rPr>
          <w:rFonts w:ascii="Arial" w:eastAsia="Times New Roman" w:hAnsi="Arial" w:cs="Arial"/>
          <w:lang w:val="en-GB"/>
        </w:rPr>
      </w:pP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Registration of community needs</w:t>
      </w:r>
      <w:r w:rsidR="0098448D" w:rsidRPr="00946012">
        <w:rPr>
          <w:rFonts w:ascii="Arial" w:hAnsi="Arial" w:cs="Arial"/>
        </w:rPr>
        <w:t>;</w:t>
      </w: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Compilation of departmental business plans</w:t>
      </w:r>
      <w:r w:rsidR="0098448D" w:rsidRPr="00946012">
        <w:rPr>
          <w:rFonts w:ascii="Arial" w:hAnsi="Arial" w:cs="Arial"/>
        </w:rPr>
        <w:t xml:space="preserve"> including key performance indicators and targets;</w:t>
      </w: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Financial planning and budgeting process</w:t>
      </w:r>
      <w:r w:rsidR="0098448D" w:rsidRPr="00946012">
        <w:rPr>
          <w:rFonts w:ascii="Arial" w:hAnsi="Arial" w:cs="Arial"/>
        </w:rPr>
        <w:t>;</w:t>
      </w:r>
    </w:p>
    <w:p w:rsidR="00BB46D6" w:rsidRPr="00946012" w:rsidRDefault="0098448D"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Public p</w:t>
      </w:r>
      <w:r w:rsidR="00BB46D6" w:rsidRPr="00946012">
        <w:rPr>
          <w:rFonts w:ascii="Arial" w:hAnsi="Arial" w:cs="Arial"/>
        </w:rPr>
        <w:t>articipation process</w:t>
      </w:r>
      <w:r w:rsidRPr="00946012">
        <w:rPr>
          <w:rFonts w:ascii="Arial" w:hAnsi="Arial" w:cs="Arial"/>
        </w:rPr>
        <w:t>;</w:t>
      </w:r>
    </w:p>
    <w:p w:rsidR="00BB46D6" w:rsidRPr="00946012"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946012">
        <w:rPr>
          <w:rFonts w:ascii="Arial" w:hAnsi="Arial" w:cs="Arial"/>
        </w:rPr>
        <w:t xml:space="preserve">Compilation of </w:t>
      </w:r>
      <w:r w:rsidR="002242DE">
        <w:rPr>
          <w:rFonts w:ascii="Arial" w:hAnsi="Arial" w:cs="Arial"/>
        </w:rPr>
        <w:t xml:space="preserve">the </w:t>
      </w:r>
      <w:r w:rsidRPr="00946012">
        <w:rPr>
          <w:rFonts w:ascii="Arial" w:hAnsi="Arial" w:cs="Arial"/>
        </w:rPr>
        <w:t>SDBIP</w:t>
      </w:r>
      <w:r w:rsidR="0098448D" w:rsidRPr="00946012">
        <w:rPr>
          <w:rFonts w:ascii="Arial" w:hAnsi="Arial" w:cs="Arial"/>
        </w:rPr>
        <w:t>, and</w:t>
      </w:r>
    </w:p>
    <w:p w:rsidR="00382F6C" w:rsidRPr="00946012" w:rsidRDefault="002242DE"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review of the p</w:t>
      </w:r>
      <w:r w:rsidR="00BB46D6" w:rsidRPr="00946012">
        <w:rPr>
          <w:rFonts w:ascii="Arial" w:hAnsi="Arial" w:cs="Arial"/>
        </w:rPr>
        <w:t>erformance management and monitoring process</w:t>
      </w:r>
      <w:r>
        <w:rPr>
          <w:rFonts w:ascii="Arial" w:hAnsi="Arial" w:cs="Arial"/>
        </w:rPr>
        <w:t>es</w:t>
      </w:r>
      <w:r w:rsidR="00382F6C" w:rsidRPr="00946012">
        <w:rPr>
          <w:rFonts w:ascii="Arial" w:hAnsi="Arial" w:cs="Arial"/>
        </w:rPr>
        <w:t>.</w:t>
      </w:r>
    </w:p>
    <w:p w:rsidR="00382F6C" w:rsidRPr="00FE1212" w:rsidRDefault="00382F6C" w:rsidP="00FE1212">
      <w:pPr>
        <w:spacing w:after="0" w:line="240" w:lineRule="auto"/>
        <w:jc w:val="both"/>
        <w:rPr>
          <w:rFonts w:ascii="Arial" w:eastAsia="Times New Roman" w:hAnsi="Arial" w:cs="Arial"/>
          <w:lang w:val="en-GB"/>
        </w:rPr>
      </w:pPr>
    </w:p>
    <w:p w:rsidR="006D559A" w:rsidRPr="00FE1212" w:rsidRDefault="00961003"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IDP has been </w:t>
      </w:r>
      <w:r w:rsidR="001268DE">
        <w:rPr>
          <w:rFonts w:ascii="Arial" w:eastAsia="Times New Roman" w:hAnsi="Arial" w:cs="Arial"/>
          <w:lang w:val="en-GB"/>
        </w:rPr>
        <w:t xml:space="preserve">taken into a </w:t>
      </w:r>
      <w:r w:rsidR="00BB46D6" w:rsidRPr="00FE1212">
        <w:rPr>
          <w:rFonts w:ascii="Arial" w:eastAsia="Times New Roman" w:hAnsi="Arial" w:cs="Arial"/>
          <w:lang w:val="en-GB"/>
        </w:rPr>
        <w:t xml:space="preserve">business and financial planning process leading up to the </w:t>
      </w:r>
      <w:r w:rsidR="004454A3">
        <w:rPr>
          <w:rFonts w:ascii="Arial" w:eastAsia="Times New Roman" w:hAnsi="Arial" w:cs="Arial"/>
          <w:lang w:val="en-GB"/>
        </w:rPr>
        <w:t>2019/20</w:t>
      </w:r>
      <w:r w:rsidR="00CB5BC9">
        <w:rPr>
          <w:rFonts w:ascii="Arial" w:eastAsia="Times New Roman" w:hAnsi="Arial" w:cs="Arial"/>
          <w:lang w:val="en-GB"/>
        </w:rPr>
        <w:t xml:space="preserve"> </w:t>
      </w:r>
      <w:r w:rsidR="00BB46D6" w:rsidRPr="00FE1212">
        <w:rPr>
          <w:rFonts w:ascii="Arial" w:eastAsia="Times New Roman" w:hAnsi="Arial" w:cs="Arial"/>
          <w:lang w:val="en-GB"/>
        </w:rPr>
        <w:t>MTREF, based on the approved 20</w:t>
      </w:r>
      <w:r w:rsidR="004454A3">
        <w:rPr>
          <w:rFonts w:ascii="Arial" w:eastAsia="Times New Roman" w:hAnsi="Arial" w:cs="Arial"/>
          <w:lang w:val="en-GB"/>
        </w:rPr>
        <w:t>18/19</w:t>
      </w:r>
      <w:r w:rsidR="00BB46D6" w:rsidRPr="00FE1212">
        <w:rPr>
          <w:rFonts w:ascii="Arial" w:eastAsia="Times New Roman" w:hAnsi="Arial" w:cs="Arial"/>
          <w:lang w:val="en-GB"/>
        </w:rPr>
        <w:t xml:space="preserve"> MTREF</w:t>
      </w:r>
      <w:r w:rsidRPr="00FE1212">
        <w:rPr>
          <w:rFonts w:ascii="Arial" w:eastAsia="Times New Roman" w:hAnsi="Arial" w:cs="Arial"/>
          <w:lang w:val="en-GB"/>
        </w:rPr>
        <w:t>, Mid-year Review</w:t>
      </w:r>
      <w:r w:rsidR="00546504" w:rsidRPr="00FE1212">
        <w:rPr>
          <w:rFonts w:ascii="Arial" w:eastAsia="Times New Roman" w:hAnsi="Arial" w:cs="Arial"/>
          <w:lang w:val="en-GB"/>
        </w:rPr>
        <w:t xml:space="preserve"> and</w:t>
      </w:r>
      <w:r w:rsidRPr="00FE1212">
        <w:rPr>
          <w:rFonts w:ascii="Arial" w:eastAsia="Times New Roman" w:hAnsi="Arial" w:cs="Arial"/>
          <w:lang w:val="en-GB"/>
        </w:rPr>
        <w:t xml:space="preserve"> </w:t>
      </w:r>
      <w:r w:rsidR="002242DE">
        <w:rPr>
          <w:rFonts w:ascii="Arial" w:eastAsia="Times New Roman" w:hAnsi="Arial" w:cs="Arial"/>
          <w:lang w:val="en-GB"/>
        </w:rPr>
        <w:t>a</w:t>
      </w:r>
      <w:r w:rsidRPr="00FE1212">
        <w:rPr>
          <w:rFonts w:ascii="Arial" w:eastAsia="Times New Roman" w:hAnsi="Arial" w:cs="Arial"/>
          <w:lang w:val="en-GB"/>
        </w:rPr>
        <w:t xml:space="preserve">djustments </w:t>
      </w:r>
      <w:r w:rsidR="002242DE">
        <w:rPr>
          <w:rFonts w:ascii="Arial" w:eastAsia="Times New Roman" w:hAnsi="Arial" w:cs="Arial"/>
          <w:lang w:val="en-GB"/>
        </w:rPr>
        <w:t>b</w:t>
      </w:r>
      <w:r w:rsidRPr="00FE1212">
        <w:rPr>
          <w:rFonts w:ascii="Arial" w:eastAsia="Times New Roman" w:hAnsi="Arial" w:cs="Arial"/>
          <w:lang w:val="en-GB"/>
        </w:rPr>
        <w:t>udget</w:t>
      </w:r>
      <w:r w:rsidR="00BB46D6" w:rsidRPr="00FE1212">
        <w:rPr>
          <w:rFonts w:ascii="Arial" w:eastAsia="Times New Roman" w:hAnsi="Arial" w:cs="Arial"/>
          <w:lang w:val="en-GB"/>
        </w:rPr>
        <w:t xml:space="preserve">. </w:t>
      </w:r>
      <w:r w:rsidR="000E381F">
        <w:rPr>
          <w:rFonts w:ascii="Arial" w:eastAsia="Times New Roman" w:hAnsi="Arial" w:cs="Arial"/>
          <w:lang w:val="en-GB"/>
        </w:rPr>
        <w:t xml:space="preserve"> </w:t>
      </w:r>
      <w:r w:rsidR="00BB46D6" w:rsidRPr="00FE1212">
        <w:rPr>
          <w:rFonts w:ascii="Arial" w:eastAsia="Times New Roman" w:hAnsi="Arial" w:cs="Arial"/>
          <w:lang w:val="en-GB"/>
        </w:rPr>
        <w:t>The business planning process has subsequently been refined</w:t>
      </w:r>
      <w:r w:rsidR="002242DE">
        <w:rPr>
          <w:rFonts w:ascii="Arial" w:eastAsia="Times New Roman" w:hAnsi="Arial" w:cs="Arial"/>
          <w:lang w:val="en-GB"/>
        </w:rPr>
        <w:t xml:space="preserve"> in the light of current economic circumstances and the resulting revenue projections</w:t>
      </w:r>
      <w:r w:rsidRPr="00FE1212">
        <w:rPr>
          <w:rFonts w:ascii="Arial" w:eastAsia="Times New Roman" w:hAnsi="Arial" w:cs="Arial"/>
          <w:lang w:val="en-GB"/>
        </w:rPr>
        <w:t xml:space="preserve">. </w:t>
      </w:r>
    </w:p>
    <w:p w:rsidR="006D559A" w:rsidRPr="00FE1212" w:rsidRDefault="006D559A" w:rsidP="00FE1212">
      <w:pPr>
        <w:spacing w:after="0" w:line="240" w:lineRule="auto"/>
        <w:jc w:val="both"/>
        <w:rPr>
          <w:rFonts w:ascii="Arial" w:eastAsia="Times New Roman" w:hAnsi="Arial" w:cs="Arial"/>
          <w:lang w:val="en-GB"/>
        </w:rPr>
      </w:pPr>
    </w:p>
    <w:p w:rsidR="00BB46D6" w:rsidRPr="00FE1212" w:rsidRDefault="00BB46D6"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With the compilation of the </w:t>
      </w:r>
      <w:r w:rsidR="004454A3">
        <w:rPr>
          <w:rFonts w:ascii="Arial" w:eastAsia="Times New Roman" w:hAnsi="Arial" w:cs="Arial"/>
          <w:lang w:val="en-GB"/>
        </w:rPr>
        <w:t>2019/20</w:t>
      </w:r>
      <w:r w:rsidRPr="00FE1212">
        <w:rPr>
          <w:rFonts w:ascii="Arial" w:eastAsia="Times New Roman" w:hAnsi="Arial" w:cs="Arial"/>
          <w:lang w:val="en-GB"/>
        </w:rPr>
        <w:t xml:space="preserve"> MTREF, each department</w:t>
      </w:r>
      <w:r w:rsidR="00961003" w:rsidRPr="00FE1212">
        <w:rPr>
          <w:rFonts w:ascii="Arial" w:eastAsia="Times New Roman" w:hAnsi="Arial" w:cs="Arial"/>
          <w:lang w:val="en-GB"/>
        </w:rPr>
        <w:t xml:space="preserve">/function </w:t>
      </w:r>
      <w:r w:rsidRPr="00FE1212">
        <w:rPr>
          <w:rFonts w:ascii="Arial" w:eastAsia="Times New Roman" w:hAnsi="Arial" w:cs="Arial"/>
          <w:lang w:val="en-GB"/>
        </w:rPr>
        <w:t>had to review the business planning process</w:t>
      </w:r>
      <w:r w:rsidR="001268DE">
        <w:rPr>
          <w:rFonts w:ascii="Arial" w:eastAsia="Times New Roman" w:hAnsi="Arial" w:cs="Arial"/>
          <w:lang w:val="en-GB"/>
        </w:rPr>
        <w:t>,</w:t>
      </w:r>
      <w:r w:rsidR="00961003" w:rsidRPr="00FE1212">
        <w:rPr>
          <w:rFonts w:ascii="Arial" w:eastAsia="Times New Roman" w:hAnsi="Arial" w:cs="Arial"/>
          <w:lang w:val="en-GB"/>
        </w:rPr>
        <w:t xml:space="preserve"> including the </w:t>
      </w:r>
      <w:r w:rsidRPr="00FE1212">
        <w:rPr>
          <w:rFonts w:ascii="Arial" w:eastAsia="Times New Roman" w:hAnsi="Arial" w:cs="Arial"/>
          <w:lang w:val="en-GB"/>
        </w:rPr>
        <w:t>setting of priorities and targets</w:t>
      </w:r>
      <w:r w:rsidR="006D559A" w:rsidRPr="00FE1212">
        <w:rPr>
          <w:rFonts w:ascii="Arial" w:eastAsia="Times New Roman" w:hAnsi="Arial" w:cs="Arial"/>
          <w:lang w:val="en-GB"/>
        </w:rPr>
        <w:t xml:space="preserve"> after reviewing the </w:t>
      </w:r>
      <w:r w:rsidR="002242DE">
        <w:rPr>
          <w:rFonts w:ascii="Arial" w:eastAsia="Times New Roman" w:hAnsi="Arial" w:cs="Arial"/>
          <w:lang w:val="en-GB"/>
        </w:rPr>
        <w:t xml:space="preserve">mid-year and third quarter </w:t>
      </w:r>
      <w:r w:rsidR="006D559A" w:rsidRPr="00FE1212">
        <w:rPr>
          <w:rFonts w:ascii="Arial" w:eastAsia="Times New Roman" w:hAnsi="Arial" w:cs="Arial"/>
          <w:lang w:val="en-GB"/>
        </w:rPr>
        <w:t xml:space="preserve">performance </w:t>
      </w:r>
      <w:r w:rsidR="002242DE">
        <w:rPr>
          <w:rFonts w:ascii="Arial" w:eastAsia="Times New Roman" w:hAnsi="Arial" w:cs="Arial"/>
          <w:lang w:val="en-GB"/>
        </w:rPr>
        <w:t xml:space="preserve">against the </w:t>
      </w:r>
      <w:r w:rsidR="004454A3">
        <w:rPr>
          <w:rFonts w:ascii="Arial" w:eastAsia="Times New Roman" w:hAnsi="Arial" w:cs="Arial"/>
          <w:lang w:val="en-GB"/>
        </w:rPr>
        <w:t>2018/19</w:t>
      </w:r>
      <w:r w:rsidR="006D559A" w:rsidRPr="00FE1212">
        <w:rPr>
          <w:rFonts w:ascii="Arial" w:eastAsia="Times New Roman" w:hAnsi="Arial" w:cs="Arial"/>
          <w:lang w:val="en-GB"/>
        </w:rPr>
        <w:t xml:space="preserve"> Departmental Service Delivery and Budget Implementation Plan.</w:t>
      </w:r>
      <w:r w:rsidR="000E381F">
        <w:rPr>
          <w:rFonts w:ascii="Arial" w:eastAsia="Times New Roman" w:hAnsi="Arial" w:cs="Arial"/>
          <w:lang w:val="en-GB"/>
        </w:rPr>
        <w:t xml:space="preserve"> </w:t>
      </w:r>
      <w:r w:rsidR="00961003" w:rsidRPr="00FE1212">
        <w:rPr>
          <w:rFonts w:ascii="Arial" w:eastAsia="Times New Roman" w:hAnsi="Arial" w:cs="Arial"/>
          <w:lang w:val="en-GB"/>
        </w:rPr>
        <w:t xml:space="preserve"> </w:t>
      </w:r>
      <w:r w:rsidRPr="00FE1212">
        <w:rPr>
          <w:rFonts w:ascii="Arial" w:eastAsia="Times New Roman" w:hAnsi="Arial" w:cs="Arial"/>
          <w:lang w:val="en-GB"/>
        </w:rPr>
        <w:t>Business planning links back to priority needs and master planning, and essentially informed the detail operating budget appropriations a</w:t>
      </w:r>
      <w:r w:rsidR="006D559A" w:rsidRPr="00FE1212">
        <w:rPr>
          <w:rFonts w:ascii="Arial" w:eastAsia="Times New Roman" w:hAnsi="Arial" w:cs="Arial"/>
          <w:lang w:val="en-GB"/>
        </w:rPr>
        <w:t xml:space="preserve">nd three-year capital programme. </w:t>
      </w:r>
    </w:p>
    <w:p w:rsidR="007A066C" w:rsidRPr="00FE1212" w:rsidRDefault="007A066C" w:rsidP="00FE1212">
      <w:pPr>
        <w:spacing w:after="0" w:line="240" w:lineRule="auto"/>
        <w:jc w:val="both"/>
        <w:rPr>
          <w:rFonts w:ascii="Arial" w:eastAsia="Times New Roman" w:hAnsi="Arial" w:cs="Arial"/>
          <w:lang w:val="en-GB"/>
        </w:rPr>
      </w:pPr>
    </w:p>
    <w:p w:rsidR="00EB352C" w:rsidRPr="008D6BA7" w:rsidRDefault="00EB352C" w:rsidP="008D6BA7">
      <w:pPr>
        <w:pStyle w:val="Heading3"/>
        <w:rPr>
          <w:rFonts w:ascii="Arial" w:hAnsi="Arial" w:cs="Arial"/>
          <w:color w:val="auto"/>
        </w:rPr>
      </w:pPr>
      <w:bookmarkStart w:id="91" w:name="_Toc286034105"/>
      <w:bookmarkStart w:id="92" w:name="_Toc286034696"/>
      <w:r w:rsidRPr="008D6BA7">
        <w:rPr>
          <w:rFonts w:ascii="Arial" w:hAnsi="Arial" w:cs="Arial"/>
          <w:color w:val="auto"/>
        </w:rPr>
        <w:t>F</w:t>
      </w:r>
      <w:r w:rsidR="00FE1212" w:rsidRPr="008D6BA7">
        <w:rPr>
          <w:rFonts w:ascii="Arial" w:hAnsi="Arial" w:cs="Arial"/>
          <w:color w:val="auto"/>
        </w:rPr>
        <w:t>inancial Modelling and Key Planning Drivers</w:t>
      </w:r>
      <w:bookmarkEnd w:id="91"/>
      <w:bookmarkEnd w:id="92"/>
    </w:p>
    <w:p w:rsidR="00EB352C" w:rsidRPr="00FE1212" w:rsidRDefault="00EB352C" w:rsidP="002242DE">
      <w:pPr>
        <w:keepNext/>
        <w:spacing w:after="0" w:line="240" w:lineRule="auto"/>
        <w:jc w:val="both"/>
        <w:rPr>
          <w:rFonts w:ascii="Arial" w:eastAsia="Times New Roman" w:hAnsi="Arial" w:cs="Arial"/>
          <w:lang w:val="en-GB"/>
        </w:rPr>
      </w:pPr>
    </w:p>
    <w:p w:rsidR="00BB46D6" w:rsidRPr="00FE1212" w:rsidRDefault="00961003"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As part o</w:t>
      </w:r>
      <w:r w:rsidR="00CB5BC9">
        <w:rPr>
          <w:rFonts w:ascii="Arial" w:eastAsia="Times New Roman" w:hAnsi="Arial" w:cs="Arial"/>
          <w:lang w:val="en-GB"/>
        </w:rPr>
        <w:t xml:space="preserve">f the compilation of the </w:t>
      </w:r>
      <w:r w:rsidR="004454A3">
        <w:rPr>
          <w:rFonts w:ascii="Arial" w:eastAsia="Times New Roman" w:hAnsi="Arial" w:cs="Arial"/>
          <w:lang w:val="en-GB"/>
        </w:rPr>
        <w:t>2019/20</w:t>
      </w:r>
      <w:r w:rsidRPr="00FE1212">
        <w:rPr>
          <w:rFonts w:ascii="Arial" w:eastAsia="Times New Roman" w:hAnsi="Arial" w:cs="Arial"/>
          <w:lang w:val="en-GB"/>
        </w:rPr>
        <w:t xml:space="preserve"> MTREF</w:t>
      </w:r>
      <w:r w:rsidR="00EB352C" w:rsidRPr="00FE1212">
        <w:rPr>
          <w:rFonts w:ascii="Arial" w:eastAsia="Times New Roman" w:hAnsi="Arial" w:cs="Arial"/>
          <w:lang w:val="en-GB"/>
        </w:rPr>
        <w:t>,</w:t>
      </w:r>
      <w:r w:rsidRPr="00FE1212">
        <w:rPr>
          <w:rFonts w:ascii="Arial" w:eastAsia="Times New Roman" w:hAnsi="Arial" w:cs="Arial"/>
          <w:lang w:val="en-GB"/>
        </w:rPr>
        <w:t xml:space="preserve"> extensive financial modelling was undertaken to ensure affordability and long-term financial sustainability.</w:t>
      </w:r>
      <w:r w:rsidR="007A066C" w:rsidRPr="00FE1212">
        <w:rPr>
          <w:rFonts w:ascii="Arial" w:eastAsia="Times New Roman" w:hAnsi="Arial" w:cs="Arial"/>
          <w:lang w:val="en-GB"/>
        </w:rPr>
        <w:t xml:space="preserve"> </w:t>
      </w:r>
      <w:r w:rsidR="000E381F">
        <w:rPr>
          <w:rFonts w:ascii="Arial" w:eastAsia="Times New Roman" w:hAnsi="Arial" w:cs="Arial"/>
          <w:lang w:val="en-GB"/>
        </w:rPr>
        <w:t xml:space="preserve"> </w:t>
      </w:r>
      <w:r w:rsidR="007A066C" w:rsidRPr="00FE1212">
        <w:rPr>
          <w:rFonts w:ascii="Arial" w:eastAsia="Times New Roman" w:hAnsi="Arial" w:cs="Arial"/>
          <w:lang w:val="en-GB"/>
        </w:rPr>
        <w:t>The following key factors and planning strategies have informe</w:t>
      </w:r>
      <w:r w:rsidR="00CB5BC9">
        <w:rPr>
          <w:rFonts w:ascii="Arial" w:eastAsia="Times New Roman" w:hAnsi="Arial" w:cs="Arial"/>
          <w:lang w:val="en-GB"/>
        </w:rPr>
        <w:t xml:space="preserve">d the compilation of the </w:t>
      </w:r>
      <w:r w:rsidR="004454A3">
        <w:rPr>
          <w:rFonts w:ascii="Arial" w:eastAsia="Times New Roman" w:hAnsi="Arial" w:cs="Arial"/>
          <w:lang w:val="en-GB"/>
        </w:rPr>
        <w:t>2019/20</w:t>
      </w:r>
      <w:r w:rsidR="007A066C" w:rsidRPr="00FE1212">
        <w:rPr>
          <w:rFonts w:ascii="Arial" w:eastAsia="Times New Roman" w:hAnsi="Arial" w:cs="Arial"/>
          <w:lang w:val="en-GB"/>
        </w:rPr>
        <w:t xml:space="preserve"> MTREF:</w:t>
      </w:r>
    </w:p>
    <w:p w:rsidR="007A066C" w:rsidRPr="00FE1212" w:rsidRDefault="007A066C" w:rsidP="00FE1212">
      <w:pPr>
        <w:spacing w:after="0" w:line="240" w:lineRule="auto"/>
        <w:jc w:val="both"/>
        <w:rPr>
          <w:rFonts w:ascii="Arial" w:eastAsia="Times New Roman" w:hAnsi="Arial" w:cs="Arial"/>
          <w:lang w:val="en-GB"/>
        </w:rPr>
      </w:pPr>
    </w:p>
    <w:p w:rsidR="002242DE" w:rsidRDefault="00CB5BC9"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Town</w:t>
      </w:r>
      <w:r w:rsidR="002242DE" w:rsidRPr="007B7944">
        <w:rPr>
          <w:rFonts w:ascii="Arial" w:hAnsi="Arial" w:cs="Arial"/>
        </w:rPr>
        <w:t xml:space="preserve"> </w:t>
      </w:r>
      <w:r w:rsidR="002242DE">
        <w:rPr>
          <w:rFonts w:ascii="Arial" w:hAnsi="Arial" w:cs="Arial"/>
        </w:rPr>
        <w:t>g</w:t>
      </w:r>
      <w:r w:rsidR="002242DE" w:rsidRPr="007B7944">
        <w:rPr>
          <w:rFonts w:ascii="Arial" w:hAnsi="Arial" w:cs="Arial"/>
        </w:rPr>
        <w:t>rowth</w:t>
      </w:r>
    </w:p>
    <w:p w:rsidR="002242DE"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 xml:space="preserve">Policy priorities </w:t>
      </w:r>
      <w:r>
        <w:rPr>
          <w:rFonts w:ascii="Arial" w:hAnsi="Arial" w:cs="Arial"/>
        </w:rPr>
        <w:t>and s</w:t>
      </w:r>
      <w:r w:rsidRPr="007B7944">
        <w:rPr>
          <w:rFonts w:ascii="Arial" w:hAnsi="Arial" w:cs="Arial"/>
        </w:rPr>
        <w:t xml:space="preserve">trategic </w:t>
      </w:r>
      <w:r>
        <w:rPr>
          <w:rFonts w:ascii="Arial" w:hAnsi="Arial" w:cs="Arial"/>
        </w:rPr>
        <w:t>o</w:t>
      </w:r>
      <w:r w:rsidRPr="007B7944">
        <w:rPr>
          <w:rFonts w:ascii="Arial" w:hAnsi="Arial" w:cs="Arial"/>
        </w:rPr>
        <w:t>bjectives</w:t>
      </w:r>
      <w:r>
        <w:rPr>
          <w:rFonts w:ascii="Arial" w:hAnsi="Arial" w:cs="Arial"/>
        </w:rPr>
        <w:t xml:space="preserve"> </w:t>
      </w:r>
    </w:p>
    <w:p w:rsidR="002242DE"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Asset maintenance</w:t>
      </w:r>
      <w:r>
        <w:rPr>
          <w:rFonts w:ascii="Arial" w:hAnsi="Arial" w:cs="Arial"/>
        </w:rPr>
        <w:t xml:space="preserve"> </w:t>
      </w:r>
    </w:p>
    <w:p w:rsidR="002242DE"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Economic climate and trends (</w:t>
      </w:r>
      <w:proofErr w:type="spellStart"/>
      <w:r w:rsidRPr="007B7944">
        <w:rPr>
          <w:rFonts w:ascii="Arial" w:hAnsi="Arial" w:cs="Arial"/>
        </w:rPr>
        <w:t>i.e</w:t>
      </w:r>
      <w:proofErr w:type="spellEnd"/>
      <w:r w:rsidRPr="007B7944">
        <w:rPr>
          <w:rFonts w:ascii="Arial" w:hAnsi="Arial" w:cs="Arial"/>
        </w:rPr>
        <w:t xml:space="preserve"> </w:t>
      </w:r>
      <w:r>
        <w:rPr>
          <w:rFonts w:ascii="Arial" w:hAnsi="Arial" w:cs="Arial"/>
        </w:rPr>
        <w:t>i</w:t>
      </w:r>
      <w:r w:rsidRPr="007B7944">
        <w:rPr>
          <w:rFonts w:ascii="Arial" w:hAnsi="Arial" w:cs="Arial"/>
        </w:rPr>
        <w:t>nflation, Eskom increases, household debt, migration patterns)</w:t>
      </w:r>
    </w:p>
    <w:p w:rsidR="002242DE" w:rsidRPr="007B7944" w:rsidRDefault="002646EF"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Performance trends</w:t>
      </w:r>
    </w:p>
    <w:p w:rsidR="00BB46D6" w:rsidRPr="007B7944" w:rsidRDefault="002242DE"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a</w:t>
      </w:r>
      <w:r w:rsidR="00BB46D6" w:rsidRPr="007B7944">
        <w:rPr>
          <w:rFonts w:ascii="Arial" w:hAnsi="Arial" w:cs="Arial"/>
        </w:rPr>
        <w:t xml:space="preserve">pproved </w:t>
      </w:r>
      <w:r w:rsidR="004454A3">
        <w:rPr>
          <w:rFonts w:ascii="Arial" w:hAnsi="Arial" w:cs="Arial"/>
        </w:rPr>
        <w:t>2018/19</w:t>
      </w:r>
      <w:r w:rsidR="00BB46D6" w:rsidRPr="007B7944">
        <w:rPr>
          <w:rFonts w:ascii="Arial" w:hAnsi="Arial" w:cs="Arial"/>
        </w:rPr>
        <w:t xml:space="preserve"> </w:t>
      </w:r>
      <w:r>
        <w:rPr>
          <w:rFonts w:ascii="Arial" w:hAnsi="Arial" w:cs="Arial"/>
        </w:rPr>
        <w:t>a</w:t>
      </w:r>
      <w:r w:rsidR="00BB46D6" w:rsidRPr="007B7944">
        <w:rPr>
          <w:rFonts w:ascii="Arial" w:hAnsi="Arial" w:cs="Arial"/>
        </w:rPr>
        <w:t xml:space="preserve">djustments </w:t>
      </w:r>
      <w:r>
        <w:rPr>
          <w:rFonts w:ascii="Arial" w:hAnsi="Arial" w:cs="Arial"/>
        </w:rPr>
        <w:t>b</w:t>
      </w:r>
      <w:r w:rsidR="00BB46D6" w:rsidRPr="007B7944">
        <w:rPr>
          <w:rFonts w:ascii="Arial" w:hAnsi="Arial" w:cs="Arial"/>
        </w:rPr>
        <w:t>udget</w:t>
      </w:r>
      <w:r w:rsidR="007A066C" w:rsidRPr="007B7944">
        <w:rPr>
          <w:rFonts w:ascii="Arial" w:hAnsi="Arial" w:cs="Arial"/>
        </w:rPr>
        <w:t xml:space="preserve"> and performance against the </w:t>
      </w:r>
      <w:r>
        <w:rPr>
          <w:rFonts w:ascii="Arial" w:hAnsi="Arial" w:cs="Arial"/>
        </w:rPr>
        <w:t>SDBIP</w:t>
      </w:r>
    </w:p>
    <w:p w:rsidR="00BB46D6" w:rsidRPr="007B7944"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 xml:space="preserve">Cash Flow Management </w:t>
      </w:r>
      <w:r w:rsidR="007A066C" w:rsidRPr="007B7944">
        <w:rPr>
          <w:rFonts w:ascii="Arial" w:hAnsi="Arial" w:cs="Arial"/>
        </w:rPr>
        <w:t>Strateg</w:t>
      </w:r>
      <w:r w:rsidR="002242DE">
        <w:rPr>
          <w:rFonts w:ascii="Arial" w:hAnsi="Arial" w:cs="Arial"/>
        </w:rPr>
        <w:t>y</w:t>
      </w:r>
    </w:p>
    <w:p w:rsidR="002646EF" w:rsidRPr="007B7944" w:rsidRDefault="002646EF"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Debtor payment levels</w:t>
      </w:r>
    </w:p>
    <w:p w:rsidR="00BB46D6" w:rsidRPr="007B7944"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Lo</w:t>
      </w:r>
      <w:r w:rsidR="002646EF">
        <w:rPr>
          <w:rFonts w:ascii="Arial" w:hAnsi="Arial" w:cs="Arial"/>
        </w:rPr>
        <w:t>an and investment possibilities</w:t>
      </w:r>
    </w:p>
    <w:p w:rsidR="00BB46D6" w:rsidRPr="002646EF"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2646EF">
        <w:rPr>
          <w:rFonts w:ascii="Arial" w:hAnsi="Arial" w:cs="Arial"/>
        </w:rPr>
        <w:t>The need for t</w:t>
      </w:r>
      <w:r w:rsidR="00BB46D6" w:rsidRPr="002646EF">
        <w:rPr>
          <w:rFonts w:ascii="Arial" w:hAnsi="Arial" w:cs="Arial"/>
        </w:rPr>
        <w:t xml:space="preserve">ariff </w:t>
      </w:r>
      <w:r w:rsidRPr="002646EF">
        <w:rPr>
          <w:rFonts w:ascii="Arial" w:hAnsi="Arial" w:cs="Arial"/>
        </w:rPr>
        <w:t>i</w:t>
      </w:r>
      <w:r w:rsidR="00BB46D6" w:rsidRPr="002646EF">
        <w:rPr>
          <w:rFonts w:ascii="Arial" w:hAnsi="Arial" w:cs="Arial"/>
        </w:rPr>
        <w:t>ncreases</w:t>
      </w:r>
      <w:r w:rsidRPr="002646EF">
        <w:rPr>
          <w:rFonts w:ascii="Arial" w:hAnsi="Arial" w:cs="Arial"/>
        </w:rPr>
        <w:t xml:space="preserve"> versus the </w:t>
      </w:r>
      <w:r w:rsidR="00BB46D6" w:rsidRPr="002646EF">
        <w:rPr>
          <w:rFonts w:ascii="Arial" w:hAnsi="Arial" w:cs="Arial"/>
        </w:rPr>
        <w:t>ability of the community to pay for services;</w:t>
      </w:r>
    </w:p>
    <w:p w:rsidR="00BB46D6" w:rsidRPr="007B7944"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7B7944">
        <w:rPr>
          <w:rFonts w:ascii="Arial" w:hAnsi="Arial" w:cs="Arial"/>
        </w:rPr>
        <w:t>Improved a</w:t>
      </w:r>
      <w:r w:rsidR="002646EF">
        <w:rPr>
          <w:rFonts w:ascii="Arial" w:hAnsi="Arial" w:cs="Arial"/>
        </w:rPr>
        <w:t>nd sustainable service delivery</w:t>
      </w:r>
    </w:p>
    <w:p w:rsidR="00BB46D6" w:rsidRPr="007B7944" w:rsidRDefault="00BB46D6" w:rsidP="002646EF">
      <w:pPr>
        <w:spacing w:after="0" w:line="240" w:lineRule="auto"/>
        <w:jc w:val="both"/>
        <w:rPr>
          <w:rFonts w:ascii="Arial" w:hAnsi="Arial" w:cs="Arial"/>
        </w:rPr>
      </w:pPr>
    </w:p>
    <w:p w:rsidR="007A066C" w:rsidRPr="00FE1212" w:rsidRDefault="007A066C"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In addition to the above, </w:t>
      </w:r>
      <w:r w:rsidR="002646EF">
        <w:rPr>
          <w:rFonts w:ascii="Arial" w:eastAsia="Times New Roman" w:hAnsi="Arial" w:cs="Arial"/>
          <w:lang w:val="en-GB"/>
        </w:rPr>
        <w:t xml:space="preserve">the strategic guidance given in </w:t>
      </w:r>
      <w:r w:rsidRPr="00FE1212">
        <w:rPr>
          <w:rFonts w:ascii="Arial" w:eastAsia="Times New Roman" w:hAnsi="Arial" w:cs="Arial"/>
          <w:lang w:val="en-GB"/>
        </w:rPr>
        <w:t xml:space="preserve">National Treasury’s MFMA Circulars </w:t>
      </w:r>
      <w:r w:rsidR="004454A3">
        <w:rPr>
          <w:rFonts w:ascii="Arial" w:eastAsia="Times New Roman" w:hAnsi="Arial" w:cs="Arial"/>
          <w:lang w:val="en-GB"/>
        </w:rPr>
        <w:t>93 and 94</w:t>
      </w:r>
      <w:r w:rsidR="002646EF">
        <w:rPr>
          <w:rFonts w:ascii="Arial" w:eastAsia="Times New Roman" w:hAnsi="Arial" w:cs="Arial"/>
          <w:lang w:val="en-GB"/>
        </w:rPr>
        <w:t xml:space="preserve"> </w:t>
      </w:r>
      <w:r w:rsidRPr="00FE1212">
        <w:rPr>
          <w:rFonts w:ascii="Arial" w:eastAsia="Times New Roman" w:hAnsi="Arial" w:cs="Arial"/>
          <w:lang w:val="en-GB"/>
        </w:rPr>
        <w:t>ha</w:t>
      </w:r>
      <w:r w:rsidR="002646EF">
        <w:rPr>
          <w:rFonts w:ascii="Arial" w:eastAsia="Times New Roman" w:hAnsi="Arial" w:cs="Arial"/>
          <w:lang w:val="en-GB"/>
        </w:rPr>
        <w:t xml:space="preserve">s been taken into consideration in the </w:t>
      </w:r>
      <w:r w:rsidR="00546504" w:rsidRPr="00FE1212">
        <w:rPr>
          <w:rFonts w:ascii="Arial" w:eastAsia="Times New Roman" w:hAnsi="Arial" w:cs="Arial"/>
          <w:lang w:val="en-GB"/>
        </w:rPr>
        <w:t>planning</w:t>
      </w:r>
      <w:r w:rsidR="007B7944">
        <w:rPr>
          <w:rFonts w:ascii="Arial" w:eastAsia="Times New Roman" w:hAnsi="Arial" w:cs="Arial"/>
          <w:lang w:val="en-GB"/>
        </w:rPr>
        <w:t xml:space="preserve"> and</w:t>
      </w:r>
      <w:r w:rsidR="00546504" w:rsidRPr="00FE1212">
        <w:rPr>
          <w:rFonts w:ascii="Arial" w:eastAsia="Times New Roman" w:hAnsi="Arial" w:cs="Arial"/>
          <w:lang w:val="en-GB"/>
        </w:rPr>
        <w:t xml:space="preserve"> prioritisation process.</w:t>
      </w:r>
    </w:p>
    <w:p w:rsidR="00EB352C" w:rsidRPr="00FE1212" w:rsidRDefault="00EB352C" w:rsidP="00FE1212">
      <w:pPr>
        <w:spacing w:after="0" w:line="240" w:lineRule="auto"/>
        <w:jc w:val="both"/>
        <w:rPr>
          <w:rFonts w:ascii="Arial" w:eastAsia="Times New Roman" w:hAnsi="Arial" w:cs="Arial"/>
          <w:lang w:val="en-GB"/>
        </w:rPr>
      </w:pPr>
    </w:p>
    <w:p w:rsidR="00546504" w:rsidRPr="008D6BA7" w:rsidRDefault="00EB352C" w:rsidP="008D6BA7">
      <w:pPr>
        <w:pStyle w:val="Heading3"/>
        <w:rPr>
          <w:rFonts w:ascii="Arial" w:eastAsia="Times New Roman" w:hAnsi="Arial" w:cs="Arial"/>
          <w:color w:val="auto"/>
          <w:lang w:val="en-GB"/>
        </w:rPr>
      </w:pPr>
      <w:bookmarkStart w:id="93" w:name="_Toc286034106"/>
      <w:bookmarkStart w:id="94" w:name="_Toc286034697"/>
      <w:r w:rsidRPr="008D6BA7">
        <w:rPr>
          <w:rFonts w:ascii="Arial" w:hAnsi="Arial" w:cs="Arial"/>
          <w:color w:val="auto"/>
        </w:rPr>
        <w:t>C</w:t>
      </w:r>
      <w:r w:rsidR="00FE1212" w:rsidRPr="008D6BA7">
        <w:rPr>
          <w:rFonts w:ascii="Arial" w:hAnsi="Arial" w:cs="Arial"/>
          <w:color w:val="auto"/>
        </w:rPr>
        <w:t>ommunity Consultation</w:t>
      </w:r>
      <w:bookmarkEnd w:id="93"/>
      <w:bookmarkEnd w:id="94"/>
    </w:p>
    <w:p w:rsidR="00EB352C" w:rsidRPr="00FE1212" w:rsidRDefault="00EB352C" w:rsidP="00FE1212">
      <w:pPr>
        <w:spacing w:after="0" w:line="240" w:lineRule="auto"/>
        <w:jc w:val="both"/>
        <w:rPr>
          <w:rFonts w:ascii="Arial" w:eastAsia="Times New Roman" w:hAnsi="Arial" w:cs="Arial"/>
          <w:lang w:val="en-GB"/>
        </w:rPr>
      </w:pPr>
    </w:p>
    <w:p w:rsidR="00BB46D6" w:rsidRPr="00FE1212" w:rsidRDefault="00BB46D6" w:rsidP="00FE1212">
      <w:pPr>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draft </w:t>
      </w:r>
      <w:r w:rsidR="004454A3">
        <w:rPr>
          <w:rFonts w:ascii="Arial" w:eastAsia="Times New Roman" w:hAnsi="Arial" w:cs="Arial"/>
          <w:lang w:val="en-GB"/>
        </w:rPr>
        <w:t>2019/20</w:t>
      </w:r>
      <w:r w:rsidRPr="00FE1212">
        <w:rPr>
          <w:rFonts w:ascii="Arial" w:eastAsia="Times New Roman" w:hAnsi="Arial" w:cs="Arial"/>
          <w:lang w:val="en-GB"/>
        </w:rPr>
        <w:t xml:space="preserve"> MTREF</w:t>
      </w:r>
      <w:r w:rsidR="00645B13">
        <w:rPr>
          <w:rFonts w:ascii="Arial" w:eastAsia="Times New Roman" w:hAnsi="Arial" w:cs="Arial"/>
          <w:lang w:val="en-GB"/>
        </w:rPr>
        <w:t xml:space="preserve"> will be</w:t>
      </w:r>
      <w:r w:rsidR="00EB352C" w:rsidRPr="00FE1212">
        <w:rPr>
          <w:rFonts w:ascii="Arial" w:eastAsia="Times New Roman" w:hAnsi="Arial" w:cs="Arial"/>
          <w:lang w:val="en-GB"/>
        </w:rPr>
        <w:t xml:space="preserve"> tabled before </w:t>
      </w:r>
      <w:r w:rsidR="004454A3">
        <w:rPr>
          <w:rFonts w:ascii="Arial" w:eastAsia="Times New Roman" w:hAnsi="Arial" w:cs="Arial"/>
          <w:lang w:val="en-GB"/>
        </w:rPr>
        <w:t>Council on 22</w:t>
      </w:r>
      <w:r w:rsidRPr="00FE1212">
        <w:rPr>
          <w:rFonts w:ascii="Arial" w:eastAsia="Times New Roman" w:hAnsi="Arial" w:cs="Arial"/>
          <w:lang w:val="en-GB"/>
        </w:rPr>
        <w:t xml:space="preserve"> March 201</w:t>
      </w:r>
      <w:r w:rsidR="004454A3">
        <w:rPr>
          <w:rFonts w:ascii="Arial" w:eastAsia="Times New Roman" w:hAnsi="Arial" w:cs="Arial"/>
          <w:lang w:val="en-GB"/>
        </w:rPr>
        <w:t>9</w:t>
      </w:r>
      <w:r w:rsidRPr="00FE1212">
        <w:rPr>
          <w:rFonts w:ascii="Arial" w:eastAsia="Times New Roman" w:hAnsi="Arial" w:cs="Arial"/>
          <w:lang w:val="en-GB"/>
        </w:rPr>
        <w:t xml:space="preserve"> f</w:t>
      </w:r>
      <w:r w:rsidR="00645B13">
        <w:rPr>
          <w:rFonts w:ascii="Arial" w:eastAsia="Times New Roman" w:hAnsi="Arial" w:cs="Arial"/>
          <w:lang w:val="en-GB"/>
        </w:rPr>
        <w:t>or community consultation will be</w:t>
      </w:r>
      <w:r w:rsidRPr="00FE1212">
        <w:rPr>
          <w:rFonts w:ascii="Arial" w:eastAsia="Times New Roman" w:hAnsi="Arial" w:cs="Arial"/>
          <w:lang w:val="en-GB"/>
        </w:rPr>
        <w:t xml:space="preserve"> </w:t>
      </w:r>
      <w:r w:rsidR="001268DE">
        <w:rPr>
          <w:rFonts w:ascii="Arial" w:eastAsia="Times New Roman" w:hAnsi="Arial" w:cs="Arial"/>
          <w:lang w:val="en-GB"/>
        </w:rPr>
        <w:t>published</w:t>
      </w:r>
      <w:r w:rsidRPr="00FE1212">
        <w:rPr>
          <w:rFonts w:ascii="Arial" w:eastAsia="Times New Roman" w:hAnsi="Arial" w:cs="Arial"/>
          <w:lang w:val="en-GB"/>
        </w:rPr>
        <w:t xml:space="preserve"> on the municipality’s website, and hard copies were made available at customer care offices, municipal notice boards and various libraries.</w:t>
      </w:r>
      <w:r w:rsidR="00EB352C" w:rsidRPr="00FE1212">
        <w:rPr>
          <w:rFonts w:ascii="Arial" w:eastAsia="Times New Roman" w:hAnsi="Arial" w:cs="Arial"/>
          <w:lang w:val="en-GB"/>
        </w:rPr>
        <w:t xml:space="preserve"> </w:t>
      </w:r>
      <w:r w:rsidR="001268DE">
        <w:rPr>
          <w:rFonts w:ascii="Arial" w:eastAsia="Times New Roman" w:hAnsi="Arial" w:cs="Arial"/>
          <w:lang w:val="en-GB"/>
        </w:rPr>
        <w:t xml:space="preserve"> </w:t>
      </w:r>
      <w:r w:rsidR="00EB352C" w:rsidRPr="00FE1212">
        <w:rPr>
          <w:rFonts w:ascii="Arial" w:eastAsia="Times New Roman" w:hAnsi="Arial" w:cs="Arial"/>
          <w:lang w:val="en-GB"/>
        </w:rPr>
        <w:t>In addition a further development of this year’s consultation process</w:t>
      </w:r>
      <w:r w:rsidR="00645B13">
        <w:rPr>
          <w:rFonts w:ascii="Arial" w:eastAsia="Times New Roman" w:hAnsi="Arial" w:cs="Arial"/>
          <w:lang w:val="en-GB"/>
        </w:rPr>
        <w:t xml:space="preserve"> will</w:t>
      </w:r>
      <w:r w:rsidR="00EB352C" w:rsidRPr="00FE1212">
        <w:rPr>
          <w:rFonts w:ascii="Arial" w:eastAsia="Times New Roman" w:hAnsi="Arial" w:cs="Arial"/>
          <w:lang w:val="en-GB"/>
        </w:rPr>
        <w:t xml:space="preserve"> inclu</w:t>
      </w:r>
      <w:r w:rsidR="00645B13">
        <w:rPr>
          <w:rFonts w:ascii="Arial" w:eastAsia="Times New Roman" w:hAnsi="Arial" w:cs="Arial"/>
          <w:lang w:val="en-GB"/>
        </w:rPr>
        <w:t>de</w:t>
      </w:r>
      <w:r w:rsidR="00EB352C" w:rsidRPr="00FE1212">
        <w:rPr>
          <w:rFonts w:ascii="Arial" w:eastAsia="Times New Roman" w:hAnsi="Arial" w:cs="Arial"/>
          <w:lang w:val="en-GB"/>
        </w:rPr>
        <w:t xml:space="preserve"> the launch of E-based consultation. </w:t>
      </w:r>
      <w:r w:rsidR="002646EF">
        <w:rPr>
          <w:rFonts w:ascii="Arial" w:eastAsia="Times New Roman" w:hAnsi="Arial" w:cs="Arial"/>
          <w:lang w:val="en-GB"/>
        </w:rPr>
        <w:t xml:space="preserve"> </w:t>
      </w:r>
      <w:r w:rsidR="00645B13">
        <w:rPr>
          <w:rFonts w:ascii="Arial" w:eastAsia="Times New Roman" w:hAnsi="Arial" w:cs="Arial"/>
          <w:lang w:val="en-GB"/>
        </w:rPr>
        <w:t>E-mail notifications will be</w:t>
      </w:r>
      <w:r w:rsidR="00EB352C" w:rsidRPr="00FE1212">
        <w:rPr>
          <w:rFonts w:ascii="Arial" w:eastAsia="Times New Roman" w:hAnsi="Arial" w:cs="Arial"/>
          <w:lang w:val="en-GB"/>
        </w:rPr>
        <w:t xml:space="preserve"> sent to all organisations on the municipality’s database, including </w:t>
      </w:r>
      <w:r w:rsidR="002646EF">
        <w:rPr>
          <w:rFonts w:ascii="Arial" w:eastAsia="Times New Roman" w:hAnsi="Arial" w:cs="Arial"/>
          <w:lang w:val="en-GB"/>
        </w:rPr>
        <w:t xml:space="preserve">ratepayer associations, community-based organisations and </w:t>
      </w:r>
      <w:r w:rsidR="00EB352C" w:rsidRPr="00FE1212">
        <w:rPr>
          <w:rFonts w:ascii="Arial" w:eastAsia="Times New Roman" w:hAnsi="Arial" w:cs="Arial"/>
          <w:lang w:val="en-GB"/>
        </w:rPr>
        <w:t xml:space="preserve">organised business. </w:t>
      </w:r>
      <w:r w:rsidR="001268DE">
        <w:rPr>
          <w:rFonts w:ascii="Arial" w:eastAsia="Times New Roman" w:hAnsi="Arial" w:cs="Arial"/>
          <w:lang w:val="en-GB"/>
        </w:rPr>
        <w:t xml:space="preserve"> </w:t>
      </w:r>
      <w:r w:rsidR="00EB352C" w:rsidRPr="00FE1212">
        <w:rPr>
          <w:rFonts w:ascii="Arial" w:eastAsia="Times New Roman" w:hAnsi="Arial" w:cs="Arial"/>
          <w:lang w:val="en-GB"/>
        </w:rPr>
        <w:t>The opportunity to give electronic feedback was</w:t>
      </w:r>
      <w:r w:rsidR="00F82470">
        <w:rPr>
          <w:rFonts w:ascii="Arial" w:eastAsia="Times New Roman" w:hAnsi="Arial" w:cs="Arial"/>
          <w:lang w:val="en-GB"/>
        </w:rPr>
        <w:t xml:space="preserve"> also communicated on the Municipality’s website. </w:t>
      </w:r>
    </w:p>
    <w:p w:rsidR="004C7CAE" w:rsidRPr="00FE1212" w:rsidRDefault="004C7CAE" w:rsidP="00FE1212">
      <w:pPr>
        <w:autoSpaceDE w:val="0"/>
        <w:autoSpaceDN w:val="0"/>
        <w:adjustRightInd w:val="0"/>
        <w:spacing w:after="0" w:line="240" w:lineRule="auto"/>
        <w:jc w:val="both"/>
        <w:rPr>
          <w:rFonts w:ascii="Arial" w:eastAsia="Times New Roman" w:hAnsi="Arial" w:cs="Arial"/>
          <w:lang w:val="en-GB"/>
        </w:rPr>
      </w:pPr>
    </w:p>
    <w:p w:rsidR="00BB46D6" w:rsidRDefault="00BB46D6" w:rsidP="00FE1212">
      <w:pPr>
        <w:autoSpaceDE w:val="0"/>
        <w:autoSpaceDN w:val="0"/>
        <w:adjustRightInd w:val="0"/>
        <w:spacing w:after="0" w:line="240" w:lineRule="auto"/>
        <w:jc w:val="both"/>
        <w:rPr>
          <w:rFonts w:ascii="Arial" w:eastAsia="Times New Roman" w:hAnsi="Arial" w:cs="Arial"/>
          <w:lang w:val="en-GB"/>
        </w:rPr>
      </w:pP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57BF6" w:rsidRDefault="00BB46D6"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Ward Comm</w:t>
      </w:r>
      <w:r w:rsidR="00F82470">
        <w:rPr>
          <w:rFonts w:ascii="Arial" w:eastAsia="Times New Roman" w:hAnsi="Arial" w:cs="Arial"/>
          <w:lang w:val="en-GB"/>
        </w:rPr>
        <w:t>ittees will</w:t>
      </w:r>
      <w:r w:rsidR="00645B13">
        <w:rPr>
          <w:rFonts w:ascii="Arial" w:eastAsia="Times New Roman" w:hAnsi="Arial" w:cs="Arial"/>
          <w:lang w:val="en-GB"/>
        </w:rPr>
        <w:t xml:space="preserve"> be </w:t>
      </w:r>
      <w:r w:rsidRPr="00FE1212">
        <w:rPr>
          <w:rFonts w:ascii="Arial" w:eastAsia="Times New Roman" w:hAnsi="Arial" w:cs="Arial"/>
          <w:lang w:val="en-GB"/>
        </w:rPr>
        <w:t xml:space="preserve">utilised to facilitate the </w:t>
      </w:r>
      <w:r w:rsidR="002646EF">
        <w:rPr>
          <w:rFonts w:ascii="Arial" w:eastAsia="Times New Roman" w:hAnsi="Arial" w:cs="Arial"/>
          <w:lang w:val="en-GB"/>
        </w:rPr>
        <w:t>c</w:t>
      </w:r>
      <w:r w:rsidRPr="00FE1212">
        <w:rPr>
          <w:rFonts w:ascii="Arial" w:eastAsia="Times New Roman" w:hAnsi="Arial" w:cs="Arial"/>
          <w:lang w:val="en-GB"/>
        </w:rPr>
        <w:t xml:space="preserve">ommunity </w:t>
      </w:r>
      <w:r w:rsidR="002646EF">
        <w:rPr>
          <w:rFonts w:ascii="Arial" w:eastAsia="Times New Roman" w:hAnsi="Arial" w:cs="Arial"/>
          <w:lang w:val="en-GB"/>
        </w:rPr>
        <w:t>c</w:t>
      </w:r>
      <w:r w:rsidRPr="00FE1212">
        <w:rPr>
          <w:rFonts w:ascii="Arial" w:eastAsia="Times New Roman" w:hAnsi="Arial" w:cs="Arial"/>
          <w:lang w:val="en-GB"/>
        </w:rPr>
        <w:t>onsultation p</w:t>
      </w:r>
      <w:r w:rsidR="002E0E0C">
        <w:rPr>
          <w:rFonts w:ascii="Arial" w:eastAsia="Times New Roman" w:hAnsi="Arial" w:cs="Arial"/>
          <w:lang w:val="en-GB"/>
        </w:rPr>
        <w:t xml:space="preserve">rocess </w:t>
      </w:r>
      <w:r w:rsidR="00645B13">
        <w:rPr>
          <w:rFonts w:ascii="Arial" w:eastAsia="Times New Roman" w:hAnsi="Arial" w:cs="Arial"/>
          <w:lang w:val="en-GB"/>
        </w:rPr>
        <w:t xml:space="preserve">in </w:t>
      </w:r>
      <w:r w:rsidR="004454A3">
        <w:rPr>
          <w:rFonts w:ascii="Arial" w:eastAsia="Times New Roman" w:hAnsi="Arial" w:cs="Arial"/>
          <w:lang w:val="en-GB"/>
        </w:rPr>
        <w:t>April 2019</w:t>
      </w:r>
      <w:r w:rsidR="00A71165">
        <w:rPr>
          <w:rFonts w:ascii="Arial" w:eastAsia="Times New Roman" w:hAnsi="Arial" w:cs="Arial"/>
          <w:lang w:val="en-GB"/>
        </w:rPr>
        <w:t>.</w:t>
      </w:r>
      <w:r w:rsidRPr="00FE1212">
        <w:rPr>
          <w:rFonts w:ascii="Arial" w:eastAsia="Times New Roman" w:hAnsi="Arial" w:cs="Arial"/>
          <w:lang w:val="en-GB"/>
        </w:rPr>
        <w:t xml:space="preserve"> The </w:t>
      </w:r>
      <w:r w:rsidR="00645B13">
        <w:rPr>
          <w:rFonts w:ascii="Arial" w:eastAsia="Times New Roman" w:hAnsi="Arial" w:cs="Arial"/>
          <w:lang w:val="en-GB"/>
        </w:rPr>
        <w:t>applicable dates and venues will be</w:t>
      </w:r>
      <w:r w:rsidRPr="00FE1212">
        <w:rPr>
          <w:rFonts w:ascii="Arial" w:eastAsia="Times New Roman" w:hAnsi="Arial" w:cs="Arial"/>
          <w:lang w:val="en-GB"/>
        </w:rPr>
        <w:t xml:space="preserve"> published in</w:t>
      </w:r>
      <w:r w:rsidR="00342BAD" w:rsidRPr="00FE1212">
        <w:rPr>
          <w:rFonts w:ascii="Arial" w:eastAsia="Times New Roman" w:hAnsi="Arial" w:cs="Arial"/>
          <w:lang w:val="en-GB"/>
        </w:rPr>
        <w:t xml:space="preserve"> all the local </w:t>
      </w:r>
      <w:r w:rsidR="00645B13">
        <w:rPr>
          <w:rFonts w:ascii="Arial" w:eastAsia="Times New Roman" w:hAnsi="Arial" w:cs="Arial"/>
          <w:lang w:val="en-GB"/>
        </w:rPr>
        <w:t>newspapers. Additional initiatives will be</w:t>
      </w:r>
      <w:r w:rsidR="00342BAD" w:rsidRPr="00FE1212">
        <w:rPr>
          <w:rFonts w:ascii="Arial" w:eastAsia="Times New Roman" w:hAnsi="Arial" w:cs="Arial"/>
          <w:lang w:val="en-GB"/>
        </w:rPr>
        <w:t xml:space="preserve"> launched during the consultation process, including the specific targeting of ratepayer associ</w:t>
      </w:r>
      <w:r w:rsidR="00645B13">
        <w:rPr>
          <w:rFonts w:ascii="Arial" w:eastAsia="Times New Roman" w:hAnsi="Arial" w:cs="Arial"/>
          <w:lang w:val="en-GB"/>
        </w:rPr>
        <w:t>ations. Individual sessions will be</w:t>
      </w:r>
      <w:r w:rsidR="00342BAD" w:rsidRPr="00FE1212">
        <w:rPr>
          <w:rFonts w:ascii="Arial" w:eastAsia="Times New Roman" w:hAnsi="Arial" w:cs="Arial"/>
          <w:lang w:val="en-GB"/>
        </w:rPr>
        <w:t xml:space="preserve"> schedule</w:t>
      </w:r>
      <w:r w:rsidR="002646EF">
        <w:rPr>
          <w:rFonts w:ascii="Arial" w:eastAsia="Times New Roman" w:hAnsi="Arial" w:cs="Arial"/>
          <w:lang w:val="en-GB"/>
        </w:rPr>
        <w:t>d</w:t>
      </w:r>
      <w:r w:rsidR="00342BAD" w:rsidRPr="00FE1212">
        <w:rPr>
          <w:rFonts w:ascii="Arial" w:eastAsia="Times New Roman" w:hAnsi="Arial" w:cs="Arial"/>
          <w:lang w:val="en-GB"/>
        </w:rPr>
        <w:t xml:space="preserve"> with orga</w:t>
      </w:r>
      <w:r w:rsidR="00645B13">
        <w:rPr>
          <w:rFonts w:ascii="Arial" w:eastAsia="Times New Roman" w:hAnsi="Arial" w:cs="Arial"/>
          <w:lang w:val="en-GB"/>
        </w:rPr>
        <w:t xml:space="preserve">nised business and </w:t>
      </w:r>
      <w:proofErr w:type="spellStart"/>
      <w:r w:rsidR="00645B13">
        <w:rPr>
          <w:rFonts w:ascii="Arial" w:eastAsia="Times New Roman" w:hAnsi="Arial" w:cs="Arial"/>
          <w:lang w:val="en-GB"/>
        </w:rPr>
        <w:t>imbizo’s</w:t>
      </w:r>
      <w:proofErr w:type="spellEnd"/>
      <w:r w:rsidR="00645B13">
        <w:rPr>
          <w:rFonts w:ascii="Arial" w:eastAsia="Times New Roman" w:hAnsi="Arial" w:cs="Arial"/>
          <w:lang w:val="en-GB"/>
        </w:rPr>
        <w:t xml:space="preserve"> will be</w:t>
      </w:r>
      <w:r w:rsidR="00342BAD" w:rsidRPr="00FE1212">
        <w:rPr>
          <w:rFonts w:ascii="Arial" w:eastAsia="Times New Roman" w:hAnsi="Arial" w:cs="Arial"/>
          <w:lang w:val="en-GB"/>
        </w:rPr>
        <w:t xml:space="preserve"> held to further ensure transparency and interaction.</w:t>
      </w:r>
      <w:r w:rsidR="000E381F">
        <w:rPr>
          <w:rFonts w:ascii="Arial" w:eastAsia="Times New Roman" w:hAnsi="Arial" w:cs="Arial"/>
          <w:lang w:val="en-GB"/>
        </w:rPr>
        <w:t xml:space="preserve"> </w:t>
      </w:r>
      <w:r w:rsidR="00857BF6" w:rsidRPr="00FE1212">
        <w:rPr>
          <w:rFonts w:ascii="Arial" w:eastAsia="Times New Roman" w:hAnsi="Arial" w:cs="Arial"/>
          <w:lang w:val="en-GB"/>
        </w:rPr>
        <w:t xml:space="preserve"> Other stakeholders involved in the consultation included churches, non-governmental institutions and community-based organisations.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7B7944" w:rsidRDefault="007B7944" w:rsidP="007B7944">
      <w:pPr>
        <w:autoSpaceDE w:val="0"/>
        <w:autoSpaceDN w:val="0"/>
        <w:adjustRightInd w:val="0"/>
        <w:spacing w:after="0" w:line="240" w:lineRule="auto"/>
        <w:jc w:val="both"/>
        <w:rPr>
          <w:rFonts w:ascii="Arial" w:eastAsia="Times New Roman" w:hAnsi="Arial" w:cs="Arial"/>
          <w:lang w:val="en-GB"/>
        </w:rPr>
      </w:pPr>
    </w:p>
    <w:p w:rsidR="00D3079B" w:rsidRDefault="00D3079B" w:rsidP="00D3079B">
      <w:pPr>
        <w:spacing w:after="0" w:line="240" w:lineRule="auto"/>
        <w:jc w:val="both"/>
        <w:rPr>
          <w:rFonts w:ascii="Arial" w:hAnsi="Arial" w:cs="Arial"/>
        </w:rPr>
      </w:pPr>
    </w:p>
    <w:p w:rsidR="00D3079B" w:rsidRDefault="00D3079B" w:rsidP="00D3079B">
      <w:pPr>
        <w:spacing w:after="0" w:line="240" w:lineRule="auto"/>
        <w:ind w:left="993"/>
        <w:jc w:val="both"/>
        <w:rPr>
          <w:rFonts w:ascii="Arial" w:hAnsi="Arial" w:cs="Arial"/>
        </w:rPr>
      </w:pPr>
    </w:p>
    <w:p w:rsidR="00993D4D" w:rsidRPr="00FE1212" w:rsidRDefault="00993D4D" w:rsidP="00993D4D">
      <w:pPr>
        <w:spacing w:after="0" w:line="240" w:lineRule="auto"/>
        <w:jc w:val="both"/>
        <w:rPr>
          <w:rFonts w:ascii="Arial" w:eastAsiaTheme="majorEastAsia" w:hAnsi="Arial" w:cs="Arial"/>
          <w:b/>
          <w:bCs/>
        </w:rPr>
      </w:pPr>
    </w:p>
    <w:p w:rsidR="00CB594D" w:rsidRDefault="00CB594D" w:rsidP="00FE1212">
      <w:pPr>
        <w:pStyle w:val="Heading2"/>
        <w:spacing w:before="0" w:line="240" w:lineRule="auto"/>
        <w:ind w:left="720" w:hanging="720"/>
        <w:rPr>
          <w:rFonts w:ascii="Arial" w:hAnsi="Arial" w:cs="Arial"/>
          <w:color w:val="auto"/>
        </w:rPr>
      </w:pPr>
      <w:bookmarkStart w:id="95" w:name="_Toc286034107"/>
      <w:bookmarkStart w:id="96" w:name="_Toc286034698"/>
      <w:bookmarkStart w:id="97" w:name="_Toc286041440"/>
      <w:bookmarkStart w:id="98" w:name="_Toc286041509"/>
      <w:bookmarkStart w:id="99" w:name="_Toc286117320"/>
      <w:bookmarkStart w:id="100" w:name="_Toc287342531"/>
      <w:r w:rsidRPr="00FE1212">
        <w:rPr>
          <w:rFonts w:ascii="Arial" w:hAnsi="Arial" w:cs="Arial"/>
          <w:color w:val="auto"/>
        </w:rPr>
        <w:t xml:space="preserve">Overview of alignment of annual budget with </w:t>
      </w:r>
      <w:r w:rsidR="007B7B00">
        <w:rPr>
          <w:rFonts w:ascii="Arial" w:hAnsi="Arial" w:cs="Arial"/>
          <w:color w:val="auto"/>
        </w:rPr>
        <w:t>I</w:t>
      </w:r>
      <w:r w:rsidR="00A0652F" w:rsidRPr="00FE1212">
        <w:rPr>
          <w:rFonts w:ascii="Arial" w:hAnsi="Arial" w:cs="Arial"/>
          <w:color w:val="auto"/>
        </w:rPr>
        <w:t>DP</w:t>
      </w:r>
      <w:bookmarkEnd w:id="95"/>
      <w:bookmarkEnd w:id="96"/>
      <w:bookmarkEnd w:id="97"/>
      <w:bookmarkEnd w:id="98"/>
      <w:bookmarkEnd w:id="99"/>
      <w:bookmarkEnd w:id="100"/>
    </w:p>
    <w:p w:rsidR="00FE1212" w:rsidRPr="00FE1212" w:rsidRDefault="00FE1212" w:rsidP="009B4091">
      <w:pPr>
        <w:keepNext/>
        <w:spacing w:after="0" w:line="240" w:lineRule="auto"/>
      </w:pPr>
    </w:p>
    <w:p w:rsidR="00B240D1" w:rsidRDefault="00B240D1"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The Constitution mandates </w:t>
      </w:r>
      <w:r w:rsidR="002C7A5D">
        <w:rPr>
          <w:rFonts w:ascii="Arial" w:eastAsia="Times New Roman" w:hAnsi="Arial" w:cs="Arial"/>
          <w:lang w:val="en-GB"/>
        </w:rPr>
        <w:t>local g</w:t>
      </w:r>
      <w:r w:rsidRPr="00FE1212">
        <w:rPr>
          <w:rFonts w:ascii="Arial" w:eastAsia="Times New Roman" w:hAnsi="Arial" w:cs="Arial"/>
          <w:lang w:val="en-GB"/>
        </w:rPr>
        <w:t xml:space="preserve">overnment with the responsibility to exercise local developmental and cooperative governance.  The </w:t>
      </w:r>
      <w:r w:rsidR="009B4091">
        <w:rPr>
          <w:rFonts w:ascii="Arial" w:eastAsia="Times New Roman" w:hAnsi="Arial" w:cs="Arial"/>
          <w:lang w:val="en-GB"/>
        </w:rPr>
        <w:t xml:space="preserve">eradication </w:t>
      </w:r>
      <w:r w:rsidRPr="00FE1212">
        <w:rPr>
          <w:rFonts w:ascii="Arial" w:eastAsia="Times New Roman" w:hAnsi="Arial" w:cs="Arial"/>
          <w:lang w:val="en-GB"/>
        </w:rPr>
        <w:t>of imbalances in South African society can only be realized through a credible integrated developmental planning process.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 xml:space="preserve">Municipalities in South Africa need to utilise integrated development planning as a method to plan future development in their areas and so find the best solutions to achieve </w:t>
      </w:r>
      <w:r w:rsidR="002C7A5D">
        <w:rPr>
          <w:rFonts w:ascii="Arial" w:eastAsia="Times New Roman" w:hAnsi="Arial" w:cs="Arial"/>
          <w:lang w:val="en-GB"/>
        </w:rPr>
        <w:t xml:space="preserve">sound </w:t>
      </w:r>
      <w:r w:rsidRPr="00FE1212">
        <w:rPr>
          <w:rFonts w:ascii="Arial" w:eastAsia="Times New Roman" w:hAnsi="Arial" w:cs="Arial"/>
          <w:lang w:val="en-GB"/>
        </w:rPr>
        <w:t>long-term development</w:t>
      </w:r>
      <w:r w:rsidR="002C7A5D">
        <w:rPr>
          <w:rFonts w:ascii="Arial" w:eastAsia="Times New Roman" w:hAnsi="Arial" w:cs="Arial"/>
          <w:lang w:val="en-GB"/>
        </w:rPr>
        <w:t xml:space="preserve"> goals</w:t>
      </w:r>
      <w:r w:rsidRPr="00FE1212">
        <w:rPr>
          <w:rFonts w:ascii="Arial" w:eastAsia="Times New Roman" w:hAnsi="Arial" w:cs="Arial"/>
          <w:lang w:val="en-GB"/>
        </w:rPr>
        <w:t>.</w:t>
      </w:r>
      <w:r w:rsidR="002C7A5D">
        <w:rPr>
          <w:rFonts w:ascii="Arial" w:eastAsia="Times New Roman" w:hAnsi="Arial" w:cs="Arial"/>
          <w:lang w:val="en-GB"/>
        </w:rPr>
        <w:t xml:space="preserve"> </w:t>
      </w:r>
      <w:r w:rsidRPr="00FE1212">
        <w:rPr>
          <w:rFonts w:ascii="Arial" w:eastAsia="Times New Roman" w:hAnsi="Arial" w:cs="Arial"/>
          <w:lang w:val="en-GB"/>
        </w:rPr>
        <w:t xml:space="preserve"> A municipal IDP provides a five year strategic programme of action aimed at setting short, medium and long term strategic and budget priorities to create a development pl</w:t>
      </w:r>
      <w:r w:rsidR="006D34F8">
        <w:rPr>
          <w:rFonts w:ascii="Arial" w:eastAsia="Times New Roman" w:hAnsi="Arial" w:cs="Arial"/>
          <w:lang w:val="en-GB"/>
        </w:rPr>
        <w:t>atform</w:t>
      </w:r>
      <w:r w:rsidR="00532C11" w:rsidRPr="00FE1212">
        <w:rPr>
          <w:rFonts w:ascii="Arial" w:eastAsia="Times New Roman" w:hAnsi="Arial" w:cs="Arial"/>
          <w:lang w:val="en-GB"/>
        </w:rPr>
        <w:t xml:space="preserve">, which correlates with the term of office of the political incumbents. </w:t>
      </w:r>
      <w:r w:rsidRPr="00FE1212">
        <w:rPr>
          <w:rFonts w:ascii="Arial" w:eastAsia="Times New Roman" w:hAnsi="Arial" w:cs="Arial"/>
          <w:lang w:val="en-GB"/>
        </w:rPr>
        <w:t xml:space="preserve"> The plan aligns the resources and the capacity of a municipality to its overall development aims and guides the municipal budget.</w:t>
      </w:r>
      <w:r w:rsidR="000E381F">
        <w:rPr>
          <w:rFonts w:ascii="Arial" w:eastAsia="Times New Roman" w:hAnsi="Arial" w:cs="Arial"/>
          <w:lang w:val="en-GB"/>
        </w:rPr>
        <w:t xml:space="preserve"> </w:t>
      </w:r>
      <w:r w:rsidRPr="00FE1212">
        <w:rPr>
          <w:rFonts w:ascii="Arial" w:eastAsia="Times New Roman" w:hAnsi="Arial" w:cs="Arial"/>
          <w:lang w:val="en-GB"/>
        </w:rPr>
        <w:t xml:space="preserve"> An IDP is therefore a key instrument which municipalities use to provide vision, leadership and direction to all those that have a role to play in the development of a municipal area. </w:t>
      </w:r>
      <w:r w:rsidR="000E381F">
        <w:rPr>
          <w:rFonts w:ascii="Arial" w:eastAsia="Times New Roman" w:hAnsi="Arial" w:cs="Arial"/>
          <w:lang w:val="en-GB"/>
        </w:rPr>
        <w:t xml:space="preserve"> </w:t>
      </w:r>
      <w:r w:rsidRPr="00FE1212">
        <w:rPr>
          <w:rFonts w:ascii="Arial" w:eastAsia="Times New Roman" w:hAnsi="Arial" w:cs="Arial"/>
          <w:lang w:val="en-GB"/>
        </w:rPr>
        <w:t>The IDP enables municipalities to make the best use of scarce resources and speed up service delivery.</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B240D1" w:rsidRDefault="00B240D1"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It is important that the IDP developed by municipalities correlate with National and Provincial intent. It must aim to co-ordinate the work of local and other spheres of government in a coherent plan to improve the quality of life for all the people living i</w:t>
      </w:r>
      <w:r w:rsidR="00F82470">
        <w:rPr>
          <w:rFonts w:ascii="Arial" w:eastAsia="Times New Roman" w:hAnsi="Arial" w:cs="Arial"/>
          <w:lang w:val="en-GB"/>
        </w:rPr>
        <w:t>n that area. Applied to the Municipality</w:t>
      </w:r>
      <w:r w:rsidRPr="00FE1212">
        <w:rPr>
          <w:rFonts w:ascii="Arial" w:eastAsia="Times New Roman" w:hAnsi="Arial" w:cs="Arial"/>
          <w:lang w:val="en-GB"/>
        </w:rPr>
        <w:t>, issues of national and provincial importance should be reflected in the IDP of the municipality.</w:t>
      </w:r>
      <w:r w:rsidR="000E381F">
        <w:rPr>
          <w:rFonts w:ascii="Arial" w:eastAsia="Times New Roman" w:hAnsi="Arial" w:cs="Arial"/>
          <w:lang w:val="en-GB"/>
        </w:rPr>
        <w:t xml:space="preserve"> </w:t>
      </w:r>
      <w:r w:rsidRPr="00FE1212">
        <w:rPr>
          <w:rFonts w:ascii="Arial" w:eastAsia="Times New Roman" w:hAnsi="Arial" w:cs="Arial"/>
          <w:lang w:val="en-GB"/>
        </w:rPr>
        <w:t xml:space="preserve"> A clear understanding of such intent is therefore imperative to ensure that</w:t>
      </w:r>
      <w:r w:rsidR="00F82470">
        <w:rPr>
          <w:rFonts w:ascii="Arial" w:eastAsia="Times New Roman" w:hAnsi="Arial" w:cs="Arial"/>
          <w:lang w:val="en-GB"/>
        </w:rPr>
        <w:t xml:space="preserve"> the Municipality</w:t>
      </w:r>
      <w:r w:rsidR="00532C11" w:rsidRPr="00FE1212">
        <w:rPr>
          <w:rFonts w:ascii="Arial" w:eastAsia="Times New Roman" w:hAnsi="Arial" w:cs="Arial"/>
          <w:lang w:val="en-GB"/>
        </w:rPr>
        <w:t xml:space="preserve"> </w:t>
      </w:r>
      <w:r w:rsidRPr="00FE1212">
        <w:rPr>
          <w:rFonts w:ascii="Arial" w:eastAsia="Times New Roman" w:hAnsi="Arial" w:cs="Arial"/>
          <w:lang w:val="en-GB"/>
        </w:rPr>
        <w:t>strategically complies with the key national and provincial priorities.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The aim of th</w:t>
      </w:r>
      <w:r w:rsidR="00532C11" w:rsidRPr="00FE1212">
        <w:rPr>
          <w:rFonts w:ascii="Arial" w:eastAsia="Times New Roman" w:hAnsi="Arial" w:cs="Arial"/>
          <w:lang w:val="en-GB"/>
        </w:rPr>
        <w:t xml:space="preserve">is revision cycle </w:t>
      </w:r>
      <w:r w:rsidRPr="00FE1212">
        <w:rPr>
          <w:rFonts w:ascii="Arial" w:eastAsia="Times New Roman" w:hAnsi="Arial" w:cs="Arial"/>
          <w:lang w:val="en-GB"/>
        </w:rPr>
        <w:t>was to develop and coordinate a coherent plan to improve the quality of life for all the people living in the area, also reflecting issues of national and provincial importance.</w:t>
      </w:r>
      <w:r w:rsidR="00532C11" w:rsidRPr="00FE1212">
        <w:rPr>
          <w:rFonts w:ascii="Arial" w:eastAsia="Times New Roman" w:hAnsi="Arial" w:cs="Arial"/>
          <w:lang w:val="en-GB"/>
        </w:rPr>
        <w:t xml:space="preserve"> </w:t>
      </w:r>
      <w:r w:rsidR="002C7A5D">
        <w:rPr>
          <w:rFonts w:ascii="Arial" w:eastAsia="Times New Roman" w:hAnsi="Arial" w:cs="Arial"/>
          <w:lang w:val="en-GB"/>
        </w:rPr>
        <w:t xml:space="preserve"> </w:t>
      </w:r>
      <w:r w:rsidRPr="00FE1212">
        <w:rPr>
          <w:rFonts w:ascii="Arial" w:eastAsia="Times New Roman" w:hAnsi="Arial" w:cs="Arial"/>
          <w:lang w:val="en-GB"/>
        </w:rPr>
        <w:t>One of the key objectives is therefore to ensure that there exists alignment between national and provincial priorities, polici</w:t>
      </w:r>
      <w:r w:rsidR="00F82470">
        <w:rPr>
          <w:rFonts w:ascii="Arial" w:eastAsia="Times New Roman" w:hAnsi="Arial" w:cs="Arial"/>
          <w:lang w:val="en-GB"/>
        </w:rPr>
        <w:t>es and strategies and the Municipality’s</w:t>
      </w:r>
      <w:r w:rsidRPr="00FE1212">
        <w:rPr>
          <w:rFonts w:ascii="Arial" w:eastAsia="Times New Roman" w:hAnsi="Arial" w:cs="Arial"/>
          <w:lang w:val="en-GB"/>
        </w:rPr>
        <w:t xml:space="preserve"> </w:t>
      </w:r>
      <w:r w:rsidR="00FE1212">
        <w:rPr>
          <w:rFonts w:ascii="Arial" w:eastAsia="Times New Roman" w:hAnsi="Arial" w:cs="Arial"/>
          <w:lang w:val="en-GB"/>
        </w:rPr>
        <w:t>response to these requirements.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Default="008F15FF" w:rsidP="00FE1212">
      <w:pPr>
        <w:autoSpaceDE w:val="0"/>
        <w:autoSpaceDN w:val="0"/>
        <w:adjustRightInd w:val="0"/>
        <w:spacing w:after="0" w:line="240" w:lineRule="auto"/>
        <w:jc w:val="both"/>
        <w:rPr>
          <w:rFonts w:ascii="Arial" w:eastAsia="Times New Roman" w:hAnsi="Arial" w:cs="Arial"/>
          <w:lang w:val="en-GB"/>
        </w:rPr>
      </w:pPr>
      <w:r w:rsidRPr="00FE1212">
        <w:rPr>
          <w:rFonts w:ascii="Arial" w:eastAsia="Times New Roman" w:hAnsi="Arial" w:cs="Arial"/>
          <w:lang w:val="en-GB"/>
        </w:rPr>
        <w:t>The national and provincial priorities, policies and strategies of importance include amongst others:</w:t>
      </w:r>
    </w:p>
    <w:p w:rsidR="00FE1212" w:rsidRPr="00FE1212" w:rsidRDefault="00FE1212" w:rsidP="00FE1212">
      <w:pPr>
        <w:autoSpaceDE w:val="0"/>
        <w:autoSpaceDN w:val="0"/>
        <w:adjustRightInd w:val="0"/>
        <w:spacing w:after="0" w:line="240" w:lineRule="auto"/>
        <w:jc w:val="both"/>
        <w:rPr>
          <w:rFonts w:ascii="Arial" w:eastAsia="Times New Roman" w:hAnsi="Arial" w:cs="Arial"/>
          <w:lang w:val="en-GB"/>
        </w:rPr>
      </w:pP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Green Paper on National Strategic Planning of 2009;</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Government </w:t>
      </w:r>
      <w:proofErr w:type="spellStart"/>
      <w:r w:rsidRPr="00993D4D">
        <w:rPr>
          <w:rFonts w:ascii="Arial" w:hAnsi="Arial" w:cs="Arial"/>
        </w:rPr>
        <w:t>Programme</w:t>
      </w:r>
      <w:proofErr w:type="spellEnd"/>
      <w:r w:rsidRPr="00993D4D">
        <w:rPr>
          <w:rFonts w:ascii="Arial" w:hAnsi="Arial" w:cs="Arial"/>
        </w:rPr>
        <w:t xml:space="preserve"> of Action;</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Development Facilitation Act of 1995;</w:t>
      </w:r>
    </w:p>
    <w:p w:rsidR="008F15FF" w:rsidRPr="00993D4D" w:rsidRDefault="00532C11"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Provincial </w:t>
      </w:r>
      <w:r w:rsidR="008F15FF" w:rsidRPr="00993D4D">
        <w:rPr>
          <w:rFonts w:ascii="Arial" w:hAnsi="Arial" w:cs="Arial"/>
        </w:rPr>
        <w:t>Growth and Development Strategy (GGDS);</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National and Provincial spatial development perspectives;</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Relevant sector</w:t>
      </w:r>
      <w:r w:rsidR="00993D4D" w:rsidRPr="00993D4D">
        <w:rPr>
          <w:rFonts w:ascii="Arial" w:hAnsi="Arial" w:cs="Arial"/>
        </w:rPr>
        <w:t xml:space="preserve"> plans such as </w:t>
      </w:r>
      <w:r w:rsidRPr="00993D4D">
        <w:rPr>
          <w:rFonts w:ascii="Arial" w:hAnsi="Arial" w:cs="Arial"/>
        </w:rPr>
        <w:t>transportation, legislation and policy;</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National Key Performance Indicators (NKPIs);</w:t>
      </w:r>
    </w:p>
    <w:p w:rsidR="008F15FF"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Accelerated and Shared Growth Initiative (ASGISA);</w:t>
      </w:r>
    </w:p>
    <w:p w:rsidR="008F15FF" w:rsidRPr="00993D4D" w:rsidRDefault="002C7A5D"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 xml:space="preserve">National 2014 Vision; </w:t>
      </w:r>
    </w:p>
    <w:p w:rsidR="002C7A5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National Spatial Development Perspective (NSDP)</w:t>
      </w:r>
      <w:r w:rsidR="002C7A5D">
        <w:rPr>
          <w:rFonts w:ascii="Arial" w:hAnsi="Arial" w:cs="Arial"/>
        </w:rPr>
        <w:t xml:space="preserve"> and</w:t>
      </w:r>
    </w:p>
    <w:p w:rsidR="008F15FF" w:rsidRPr="00993D4D" w:rsidRDefault="002C7A5D"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National Priority Outcomes</w:t>
      </w:r>
      <w:r w:rsidR="008F15FF" w:rsidRPr="00993D4D">
        <w:rPr>
          <w:rFonts w:ascii="Arial" w:hAnsi="Arial" w:cs="Arial"/>
        </w:rPr>
        <w:t>.</w:t>
      </w:r>
    </w:p>
    <w:p w:rsidR="00FE1212" w:rsidRPr="00FE1212" w:rsidRDefault="00FE1212" w:rsidP="00FE1212">
      <w:pPr>
        <w:autoSpaceDE w:val="0"/>
        <w:autoSpaceDN w:val="0"/>
        <w:adjustRightInd w:val="0"/>
        <w:spacing w:after="0" w:line="240" w:lineRule="auto"/>
        <w:jc w:val="both"/>
      </w:pPr>
    </w:p>
    <w:p w:rsidR="00B240D1" w:rsidRDefault="00FE1212" w:rsidP="00FE1212">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The Consti</w:t>
      </w:r>
      <w:r w:rsidR="00B240D1" w:rsidRPr="00FE1212">
        <w:rPr>
          <w:rFonts w:ascii="Arial" w:eastAsia="Times New Roman" w:hAnsi="Arial" w:cs="Arial"/>
          <w:lang w:val="en-GB"/>
        </w:rPr>
        <w:t>tution require</w:t>
      </w:r>
      <w:r w:rsidR="002C7A5D">
        <w:rPr>
          <w:rFonts w:ascii="Arial" w:eastAsia="Times New Roman" w:hAnsi="Arial" w:cs="Arial"/>
          <w:lang w:val="en-GB"/>
        </w:rPr>
        <w:t>s</w:t>
      </w:r>
      <w:r w:rsidR="00B240D1" w:rsidRPr="00FE1212">
        <w:rPr>
          <w:rFonts w:ascii="Arial" w:eastAsia="Times New Roman" w:hAnsi="Arial" w:cs="Arial"/>
          <w:lang w:val="en-GB"/>
        </w:rPr>
        <w:t xml:space="preserve"> local government to relate its management, budgeting and planning functions to its objectives</w:t>
      </w:r>
      <w:r w:rsidR="002C7A5D">
        <w:rPr>
          <w:rFonts w:ascii="Arial" w:eastAsia="Times New Roman" w:hAnsi="Arial" w:cs="Arial"/>
          <w:lang w:val="en-GB"/>
        </w:rPr>
        <w:t xml:space="preserve">. </w:t>
      </w:r>
      <w:r w:rsidR="000E381F">
        <w:rPr>
          <w:rFonts w:ascii="Arial" w:eastAsia="Times New Roman" w:hAnsi="Arial" w:cs="Arial"/>
          <w:lang w:val="en-GB"/>
        </w:rPr>
        <w:t xml:space="preserve"> </w:t>
      </w:r>
      <w:r w:rsidR="002C7A5D">
        <w:rPr>
          <w:rFonts w:ascii="Arial" w:eastAsia="Times New Roman" w:hAnsi="Arial" w:cs="Arial"/>
          <w:lang w:val="en-GB"/>
        </w:rPr>
        <w:t xml:space="preserve">This </w:t>
      </w:r>
      <w:r w:rsidR="00B240D1" w:rsidRPr="00FE1212">
        <w:rPr>
          <w:rFonts w:ascii="Arial" w:eastAsia="Times New Roman" w:hAnsi="Arial" w:cs="Arial"/>
          <w:lang w:val="en-GB"/>
        </w:rPr>
        <w:t>give</w:t>
      </w:r>
      <w:r w:rsidR="002C7A5D">
        <w:rPr>
          <w:rFonts w:ascii="Arial" w:eastAsia="Times New Roman" w:hAnsi="Arial" w:cs="Arial"/>
          <w:lang w:val="en-GB"/>
        </w:rPr>
        <w:t>s</w:t>
      </w:r>
      <w:r w:rsidR="00B240D1" w:rsidRPr="00FE1212">
        <w:rPr>
          <w:rFonts w:ascii="Arial" w:eastAsia="Times New Roman" w:hAnsi="Arial" w:cs="Arial"/>
          <w:lang w:val="en-GB"/>
        </w:rPr>
        <w:t xml:space="preserve"> a clear indication of the intended purposes of municipal integrated development planning.  Legislation stipulates clearly that a municipality must not only give effect to its IDP, but must also conduct its affairs in a manner which is consistent with its IDP.  The following table highlights the IDP’s</w:t>
      </w:r>
      <w:r w:rsidR="00830756" w:rsidRPr="00FE1212">
        <w:rPr>
          <w:rFonts w:ascii="Arial" w:eastAsia="Times New Roman" w:hAnsi="Arial" w:cs="Arial"/>
          <w:lang w:val="en-GB"/>
        </w:rPr>
        <w:t xml:space="preserve"> five </w:t>
      </w:r>
      <w:r w:rsidR="00B240D1" w:rsidRPr="00FE1212">
        <w:rPr>
          <w:rFonts w:ascii="Arial" w:eastAsia="Times New Roman" w:hAnsi="Arial" w:cs="Arial"/>
          <w:lang w:val="en-GB"/>
        </w:rPr>
        <w:t>st</w:t>
      </w:r>
      <w:r w:rsidR="00F82470">
        <w:rPr>
          <w:rFonts w:ascii="Arial" w:eastAsia="Times New Roman" w:hAnsi="Arial" w:cs="Arial"/>
          <w:lang w:val="en-GB"/>
        </w:rPr>
        <w:t xml:space="preserve">rategic objectives for the </w:t>
      </w:r>
      <w:r w:rsidR="001143B3">
        <w:rPr>
          <w:rFonts w:ascii="Arial" w:eastAsia="Times New Roman" w:hAnsi="Arial" w:cs="Arial"/>
          <w:lang w:val="en-GB"/>
        </w:rPr>
        <w:t>2018/19</w:t>
      </w:r>
      <w:r w:rsidR="00B240D1" w:rsidRPr="00FE1212">
        <w:rPr>
          <w:rFonts w:ascii="Arial" w:eastAsia="Times New Roman" w:hAnsi="Arial" w:cs="Arial"/>
          <w:lang w:val="en-GB"/>
        </w:rPr>
        <w:t xml:space="preserve"> MTREF and further planning refinements that have directly informed the compilation of the budget:</w:t>
      </w:r>
    </w:p>
    <w:p w:rsidR="00CC2DB3" w:rsidRDefault="00CC2DB3" w:rsidP="00FE1212">
      <w:pPr>
        <w:autoSpaceDE w:val="0"/>
        <w:autoSpaceDN w:val="0"/>
        <w:adjustRightInd w:val="0"/>
        <w:spacing w:after="0" w:line="240" w:lineRule="auto"/>
        <w:jc w:val="both"/>
        <w:rPr>
          <w:rFonts w:ascii="Arial" w:eastAsia="Times New Roman" w:hAnsi="Arial" w:cs="Arial"/>
          <w:lang w:val="en-GB"/>
        </w:rPr>
      </w:pPr>
    </w:p>
    <w:p w:rsidR="00CC2DB3" w:rsidRPr="00CC2DB3" w:rsidRDefault="00CC2DB3" w:rsidP="00CC2DB3">
      <w:pPr>
        <w:pStyle w:val="Caption"/>
      </w:pPr>
      <w:bookmarkStart w:id="101" w:name="_Toc287342469"/>
      <w:r>
        <w:t xml:space="preserve">Table </w:t>
      </w:r>
      <w:r w:rsidR="00951EB5">
        <w:fldChar w:fldCharType="begin"/>
      </w:r>
      <w:r w:rsidR="009F6B4A">
        <w:instrText xml:space="preserve"> SEQ Table \* ARABIC </w:instrText>
      </w:r>
      <w:r w:rsidR="00951EB5">
        <w:fldChar w:fldCharType="separate"/>
      </w:r>
      <w:r w:rsidR="00FB5E13">
        <w:rPr>
          <w:noProof/>
        </w:rPr>
        <w:t>19</w:t>
      </w:r>
      <w:r w:rsidR="00951EB5">
        <w:rPr>
          <w:noProof/>
        </w:rPr>
        <w:fldChar w:fldCharType="end"/>
      </w:r>
      <w:r>
        <w:t xml:space="preserve"> </w:t>
      </w:r>
      <w:r w:rsidRPr="00CC2DB3">
        <w:t xml:space="preserve"> IDP Strategic Objectives</w:t>
      </w:r>
      <w:bookmarkEnd w:id="10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0"/>
        <w:gridCol w:w="3947"/>
        <w:gridCol w:w="522"/>
        <w:gridCol w:w="4629"/>
      </w:tblGrid>
      <w:tr w:rsidR="00B240D1" w:rsidRPr="00842C4F" w:rsidTr="002C7A5D">
        <w:tc>
          <w:tcPr>
            <w:tcW w:w="4347" w:type="dxa"/>
            <w:gridSpan w:val="2"/>
            <w:tcBorders>
              <w:right w:val="single" w:sz="4" w:space="0" w:color="auto"/>
            </w:tcBorders>
          </w:tcPr>
          <w:p w:rsidR="00B240D1" w:rsidRPr="00842C4F" w:rsidRDefault="004454A3" w:rsidP="00842C4F">
            <w:pPr>
              <w:autoSpaceDE w:val="0"/>
              <w:autoSpaceDN w:val="0"/>
              <w:adjustRightInd w:val="0"/>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2018/19</w:t>
            </w:r>
            <w:r w:rsidR="00B240D1" w:rsidRPr="00842C4F">
              <w:rPr>
                <w:rFonts w:ascii="Arial" w:eastAsia="Times New Roman" w:hAnsi="Arial" w:cs="Arial"/>
                <w:b/>
                <w:sz w:val="20"/>
                <w:szCs w:val="20"/>
                <w:lang w:val="en-GB"/>
              </w:rPr>
              <w:t xml:space="preserve"> Financial Year</w:t>
            </w:r>
          </w:p>
        </w:tc>
        <w:tc>
          <w:tcPr>
            <w:tcW w:w="5151" w:type="dxa"/>
            <w:gridSpan w:val="2"/>
            <w:tcBorders>
              <w:left w:val="single" w:sz="4" w:space="0" w:color="auto"/>
            </w:tcBorders>
          </w:tcPr>
          <w:p w:rsidR="00B240D1" w:rsidRPr="00842C4F" w:rsidRDefault="004454A3" w:rsidP="00842C4F">
            <w:pPr>
              <w:autoSpaceDE w:val="0"/>
              <w:autoSpaceDN w:val="0"/>
              <w:adjustRightInd w:val="0"/>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2019/20</w:t>
            </w:r>
            <w:r w:rsidR="00FA0F8A">
              <w:rPr>
                <w:rFonts w:ascii="Arial" w:eastAsia="Times New Roman" w:hAnsi="Arial" w:cs="Arial"/>
                <w:b/>
                <w:sz w:val="20"/>
                <w:szCs w:val="20"/>
                <w:lang w:val="en-GB"/>
              </w:rPr>
              <w:t xml:space="preserve"> </w:t>
            </w:r>
            <w:r w:rsidR="00B240D1" w:rsidRPr="00842C4F">
              <w:rPr>
                <w:rFonts w:ascii="Arial" w:eastAsia="Times New Roman" w:hAnsi="Arial" w:cs="Arial"/>
                <w:b/>
                <w:sz w:val="20"/>
                <w:szCs w:val="20"/>
                <w:lang w:val="en-GB"/>
              </w:rPr>
              <w:t>MTREF</w:t>
            </w:r>
          </w:p>
        </w:tc>
      </w:tr>
      <w:tr w:rsidR="00B240D1" w:rsidRPr="00842C4F" w:rsidTr="002C7A5D">
        <w:tc>
          <w:tcPr>
            <w:tcW w:w="400" w:type="dxa"/>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1.</w:t>
            </w:r>
          </w:p>
        </w:tc>
        <w:tc>
          <w:tcPr>
            <w:tcW w:w="3947" w:type="dxa"/>
            <w:tcBorders>
              <w:right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The provision of quality basic services and infrastructure</w:t>
            </w:r>
          </w:p>
        </w:tc>
        <w:tc>
          <w:tcPr>
            <w:tcW w:w="522" w:type="dxa"/>
            <w:tcBorders>
              <w:left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1.</w:t>
            </w:r>
          </w:p>
        </w:tc>
        <w:tc>
          <w:tcPr>
            <w:tcW w:w="4629" w:type="dxa"/>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Provision of quality basic services and infrastructure</w:t>
            </w:r>
          </w:p>
        </w:tc>
      </w:tr>
      <w:tr w:rsidR="00B240D1" w:rsidRPr="00842C4F" w:rsidTr="00CC2DB3">
        <w:tc>
          <w:tcPr>
            <w:tcW w:w="400" w:type="dxa"/>
            <w:tcBorders>
              <w:bottom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2.</w:t>
            </w:r>
          </w:p>
        </w:tc>
        <w:tc>
          <w:tcPr>
            <w:tcW w:w="3947" w:type="dxa"/>
            <w:tcBorders>
              <w:right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Acceleration of higher and shared economic growth and development</w:t>
            </w:r>
          </w:p>
        </w:tc>
        <w:tc>
          <w:tcPr>
            <w:tcW w:w="522" w:type="dxa"/>
            <w:tcBorders>
              <w:left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2.</w:t>
            </w:r>
          </w:p>
        </w:tc>
        <w:tc>
          <w:tcPr>
            <w:tcW w:w="4629" w:type="dxa"/>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Economic growth and development that leads to sustainable job creation</w:t>
            </w:r>
          </w:p>
        </w:tc>
      </w:tr>
      <w:tr w:rsidR="002C7A5D" w:rsidRPr="00842C4F" w:rsidTr="00CC2DB3">
        <w:tc>
          <w:tcPr>
            <w:tcW w:w="400" w:type="dxa"/>
            <w:vMerge w:val="restart"/>
            <w:tcBorders>
              <w:right w:val="nil"/>
            </w:tcBorders>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 xml:space="preserve">3. </w:t>
            </w:r>
          </w:p>
        </w:tc>
        <w:tc>
          <w:tcPr>
            <w:tcW w:w="3947" w:type="dxa"/>
            <w:vMerge w:val="restart"/>
            <w:tcBorders>
              <w:left w:val="nil"/>
              <w:right w:val="single" w:sz="4" w:space="0" w:color="auto"/>
            </w:tcBorders>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Fighting of poverty, building clean,    healthy, safe and sustainable communities</w:t>
            </w:r>
          </w:p>
        </w:tc>
        <w:tc>
          <w:tcPr>
            <w:tcW w:w="522" w:type="dxa"/>
            <w:tcBorders>
              <w:left w:val="single" w:sz="4" w:space="0" w:color="auto"/>
            </w:tcBorders>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3.1</w:t>
            </w:r>
          </w:p>
        </w:tc>
        <w:tc>
          <w:tcPr>
            <w:tcW w:w="4629" w:type="dxa"/>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Fight poverty and build clean, healthy, safe and sustainable communities</w:t>
            </w:r>
          </w:p>
        </w:tc>
      </w:tr>
      <w:tr w:rsidR="002C7A5D" w:rsidRPr="00842C4F" w:rsidTr="00CC2DB3">
        <w:tc>
          <w:tcPr>
            <w:tcW w:w="400" w:type="dxa"/>
            <w:vMerge/>
            <w:tcBorders>
              <w:right w:val="nil"/>
            </w:tcBorders>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p>
        </w:tc>
        <w:tc>
          <w:tcPr>
            <w:tcW w:w="3947" w:type="dxa"/>
            <w:vMerge/>
            <w:tcBorders>
              <w:left w:val="nil"/>
              <w:right w:val="single" w:sz="4" w:space="0" w:color="auto"/>
            </w:tcBorders>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p>
        </w:tc>
        <w:tc>
          <w:tcPr>
            <w:tcW w:w="522" w:type="dxa"/>
            <w:tcBorders>
              <w:left w:val="single" w:sz="4" w:space="0" w:color="auto"/>
            </w:tcBorders>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3.2</w:t>
            </w:r>
          </w:p>
        </w:tc>
        <w:tc>
          <w:tcPr>
            <w:tcW w:w="4629" w:type="dxa"/>
          </w:tcPr>
          <w:p w:rsidR="002C7A5D" w:rsidRPr="00842C4F" w:rsidRDefault="002C7A5D"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Integrated Social Services for empowered and sustainable communities</w:t>
            </w:r>
          </w:p>
        </w:tc>
      </w:tr>
      <w:tr w:rsidR="00B240D1" w:rsidRPr="00842C4F" w:rsidTr="00CC2DB3">
        <w:tc>
          <w:tcPr>
            <w:tcW w:w="400" w:type="dxa"/>
            <w:tcBorders>
              <w:bottom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4.</w:t>
            </w:r>
          </w:p>
        </w:tc>
        <w:tc>
          <w:tcPr>
            <w:tcW w:w="3947" w:type="dxa"/>
            <w:tcBorders>
              <w:right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Fostering participatory democracy and adherence to Batho Pele principles through a caring, accessible and accountable service</w:t>
            </w:r>
          </w:p>
        </w:tc>
        <w:tc>
          <w:tcPr>
            <w:tcW w:w="522" w:type="dxa"/>
            <w:tcBorders>
              <w:left w:val="single" w:sz="4" w:space="0" w:color="auto"/>
            </w:tcBorders>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4.</w:t>
            </w:r>
          </w:p>
        </w:tc>
        <w:tc>
          <w:tcPr>
            <w:tcW w:w="4629" w:type="dxa"/>
          </w:tcPr>
          <w:p w:rsidR="00B240D1" w:rsidRPr="00842C4F" w:rsidRDefault="00B240D1"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Foster participatory democracy and Batho Pele principles through a caring, accessible and accountable service</w:t>
            </w:r>
          </w:p>
        </w:tc>
      </w:tr>
      <w:tr w:rsidR="00CC2DB3" w:rsidRPr="00842C4F" w:rsidTr="00CC2DB3">
        <w:tc>
          <w:tcPr>
            <w:tcW w:w="400" w:type="dxa"/>
            <w:vMerge w:val="restart"/>
            <w:tcBorders>
              <w:right w:val="nil"/>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5.</w:t>
            </w:r>
          </w:p>
        </w:tc>
        <w:tc>
          <w:tcPr>
            <w:tcW w:w="3947" w:type="dxa"/>
            <w:vMerge w:val="restart"/>
            <w:tcBorders>
              <w:left w:val="nil"/>
              <w:right w:val="single" w:sz="4" w:space="0" w:color="auto"/>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Good governance, Financial viability and institutional governance</w:t>
            </w:r>
          </w:p>
        </w:tc>
        <w:tc>
          <w:tcPr>
            <w:tcW w:w="522" w:type="dxa"/>
            <w:tcBorders>
              <w:left w:val="single" w:sz="4" w:space="0" w:color="auto"/>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5.1</w:t>
            </w:r>
          </w:p>
        </w:tc>
        <w:tc>
          <w:tcPr>
            <w:tcW w:w="4629" w:type="dxa"/>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Promote sound governance</w:t>
            </w:r>
          </w:p>
        </w:tc>
      </w:tr>
      <w:tr w:rsidR="00CC2DB3" w:rsidRPr="00842C4F" w:rsidTr="00CC2DB3">
        <w:tc>
          <w:tcPr>
            <w:tcW w:w="400" w:type="dxa"/>
            <w:vMerge/>
            <w:tcBorders>
              <w:right w:val="nil"/>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p>
        </w:tc>
        <w:tc>
          <w:tcPr>
            <w:tcW w:w="3947" w:type="dxa"/>
            <w:vMerge/>
            <w:tcBorders>
              <w:left w:val="nil"/>
              <w:right w:val="single" w:sz="4" w:space="0" w:color="auto"/>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p>
        </w:tc>
        <w:tc>
          <w:tcPr>
            <w:tcW w:w="522" w:type="dxa"/>
            <w:tcBorders>
              <w:left w:val="single" w:sz="4" w:space="0" w:color="auto"/>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5.2</w:t>
            </w:r>
          </w:p>
        </w:tc>
        <w:tc>
          <w:tcPr>
            <w:tcW w:w="4629" w:type="dxa"/>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Ensure financial sustainability</w:t>
            </w:r>
          </w:p>
        </w:tc>
      </w:tr>
      <w:tr w:rsidR="00CC2DB3" w:rsidRPr="00842C4F" w:rsidTr="00CC2DB3">
        <w:tc>
          <w:tcPr>
            <w:tcW w:w="400" w:type="dxa"/>
            <w:vMerge/>
            <w:tcBorders>
              <w:right w:val="nil"/>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p>
        </w:tc>
        <w:tc>
          <w:tcPr>
            <w:tcW w:w="3947" w:type="dxa"/>
            <w:vMerge/>
            <w:tcBorders>
              <w:left w:val="nil"/>
              <w:right w:val="single" w:sz="4" w:space="0" w:color="auto"/>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p>
        </w:tc>
        <w:tc>
          <w:tcPr>
            <w:tcW w:w="522" w:type="dxa"/>
            <w:tcBorders>
              <w:left w:val="single" w:sz="4" w:space="0" w:color="auto"/>
            </w:tcBorders>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5.3</w:t>
            </w:r>
          </w:p>
        </w:tc>
        <w:tc>
          <w:tcPr>
            <w:tcW w:w="4629" w:type="dxa"/>
          </w:tcPr>
          <w:p w:rsidR="00CC2DB3" w:rsidRPr="00842C4F" w:rsidRDefault="00CC2DB3" w:rsidP="00842C4F">
            <w:pPr>
              <w:autoSpaceDE w:val="0"/>
              <w:autoSpaceDN w:val="0"/>
              <w:adjustRightInd w:val="0"/>
              <w:spacing w:after="0" w:line="240" w:lineRule="auto"/>
              <w:jc w:val="both"/>
              <w:rPr>
                <w:rFonts w:ascii="Arial" w:eastAsia="Times New Roman" w:hAnsi="Arial" w:cs="Arial"/>
                <w:sz w:val="20"/>
                <w:szCs w:val="20"/>
                <w:lang w:val="en-GB"/>
              </w:rPr>
            </w:pPr>
            <w:r w:rsidRPr="00842C4F">
              <w:rPr>
                <w:rFonts w:ascii="Arial" w:eastAsia="Times New Roman" w:hAnsi="Arial" w:cs="Arial"/>
                <w:sz w:val="20"/>
                <w:szCs w:val="20"/>
                <w:lang w:val="en-GB"/>
              </w:rPr>
              <w:t>Optimal institutional transformation to ensure capacity to achieve set objectives</w:t>
            </w:r>
          </w:p>
        </w:tc>
      </w:tr>
    </w:tbl>
    <w:p w:rsidR="00D70899" w:rsidRPr="00842C4F" w:rsidRDefault="00D70899" w:rsidP="00842C4F">
      <w:pPr>
        <w:spacing w:after="0" w:line="240" w:lineRule="auto"/>
        <w:jc w:val="both"/>
        <w:rPr>
          <w:sz w:val="20"/>
          <w:szCs w:val="20"/>
        </w:rPr>
      </w:pPr>
    </w:p>
    <w:p w:rsidR="00D70899" w:rsidRDefault="00D70899"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In order to ensure integrated and focused service delivery between all spheres of government it was impor</w:t>
      </w:r>
      <w:r w:rsidR="00892BE3">
        <w:rPr>
          <w:rFonts w:ascii="Arial" w:eastAsia="Times New Roman" w:hAnsi="Arial" w:cs="Arial"/>
          <w:lang w:val="en-GB"/>
        </w:rPr>
        <w:t>tant for the municipality</w:t>
      </w:r>
      <w:r w:rsidRPr="00F57E55">
        <w:rPr>
          <w:rFonts w:ascii="Arial" w:eastAsia="Times New Roman" w:hAnsi="Arial" w:cs="Arial"/>
          <w:lang w:val="en-GB"/>
        </w:rPr>
        <w:t xml:space="preserve"> to align its budget priorities with that of </w:t>
      </w:r>
      <w:r w:rsidR="00CC2DB3">
        <w:rPr>
          <w:rFonts w:ascii="Arial" w:eastAsia="Times New Roman" w:hAnsi="Arial" w:cs="Arial"/>
          <w:lang w:val="en-GB"/>
        </w:rPr>
        <w:t>n</w:t>
      </w:r>
      <w:r w:rsidRPr="00F57E55">
        <w:rPr>
          <w:rFonts w:ascii="Arial" w:eastAsia="Times New Roman" w:hAnsi="Arial" w:cs="Arial"/>
          <w:lang w:val="en-GB"/>
        </w:rPr>
        <w:t xml:space="preserve">ational and </w:t>
      </w:r>
      <w:r w:rsidR="00CC2DB3">
        <w:rPr>
          <w:rFonts w:ascii="Arial" w:eastAsia="Times New Roman" w:hAnsi="Arial" w:cs="Arial"/>
          <w:lang w:val="en-GB"/>
        </w:rPr>
        <w:t>p</w:t>
      </w:r>
      <w:r w:rsidRPr="00F57E55">
        <w:rPr>
          <w:rFonts w:ascii="Arial" w:eastAsia="Times New Roman" w:hAnsi="Arial" w:cs="Arial"/>
          <w:lang w:val="en-GB"/>
        </w:rPr>
        <w:t>rovincial government.  All spheres of government place a high priority on infrastructure development, economic development and job creation, efficient service delivery, poverty alleviation and building sound institutional arrangements.</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D70899" w:rsidRDefault="00D70899"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Local priorities were identified as part of the IDP review process which </w:t>
      </w:r>
      <w:r w:rsidR="00830756" w:rsidRPr="00F57E55">
        <w:rPr>
          <w:rFonts w:ascii="Arial" w:eastAsia="Times New Roman" w:hAnsi="Arial" w:cs="Arial"/>
          <w:lang w:val="en-GB"/>
        </w:rPr>
        <w:t>is</w:t>
      </w:r>
      <w:r w:rsidRPr="00F57E55">
        <w:rPr>
          <w:rFonts w:ascii="Arial" w:eastAsia="Times New Roman" w:hAnsi="Arial" w:cs="Arial"/>
          <w:lang w:val="en-GB"/>
        </w:rPr>
        <w:t xml:space="preserve"> directly </w:t>
      </w:r>
      <w:r w:rsidR="00830756" w:rsidRPr="00F57E55">
        <w:rPr>
          <w:rFonts w:ascii="Arial" w:eastAsia="Times New Roman" w:hAnsi="Arial" w:cs="Arial"/>
          <w:lang w:val="en-GB"/>
        </w:rPr>
        <w:t>aligned to that of the</w:t>
      </w:r>
      <w:r w:rsidRPr="00F57E55">
        <w:rPr>
          <w:rFonts w:ascii="Arial" w:eastAsia="Times New Roman" w:hAnsi="Arial" w:cs="Arial"/>
          <w:lang w:val="en-GB"/>
        </w:rPr>
        <w:t xml:space="preserve"> national and provincial priorities. </w:t>
      </w:r>
      <w:r w:rsidR="00830756" w:rsidRPr="00F57E55">
        <w:rPr>
          <w:rFonts w:ascii="Arial" w:eastAsia="Times New Roman" w:hAnsi="Arial" w:cs="Arial"/>
          <w:lang w:val="en-GB"/>
        </w:rPr>
        <w:t xml:space="preserve"> </w:t>
      </w:r>
      <w:r w:rsidRPr="00F57E55">
        <w:rPr>
          <w:rFonts w:ascii="Arial" w:eastAsia="Times New Roman" w:hAnsi="Arial" w:cs="Arial"/>
          <w:lang w:val="en-GB"/>
        </w:rPr>
        <w:t>The key performance areas can be summarised as follows</w:t>
      </w:r>
      <w:r w:rsidR="00830756" w:rsidRPr="00F57E55">
        <w:rPr>
          <w:rFonts w:ascii="Arial" w:eastAsia="Times New Roman" w:hAnsi="Arial" w:cs="Arial"/>
          <w:lang w:val="en-GB"/>
        </w:rPr>
        <w:t xml:space="preserve"> against the five strategic objectives</w:t>
      </w:r>
      <w:r w:rsidRPr="00F57E55">
        <w:rPr>
          <w:rFonts w:ascii="Arial" w:eastAsia="Times New Roman" w:hAnsi="Arial" w:cs="Arial"/>
          <w:lang w:val="en-GB"/>
        </w:rPr>
        <w:t>:</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D70899" w:rsidRPr="002C6A1B" w:rsidRDefault="00CC2DB3" w:rsidP="00E50C0E">
      <w:pPr>
        <w:pStyle w:val="ListParagraph"/>
        <w:numPr>
          <w:ilvl w:val="0"/>
          <w:numId w:val="14"/>
        </w:numPr>
        <w:autoSpaceDE w:val="0"/>
        <w:autoSpaceDN w:val="0"/>
        <w:adjustRightInd w:val="0"/>
        <w:spacing w:after="0" w:line="240" w:lineRule="auto"/>
        <w:jc w:val="both"/>
        <w:rPr>
          <w:rFonts w:ascii="Arial" w:eastAsia="Times New Roman" w:hAnsi="Arial" w:cs="Arial"/>
          <w:lang w:val="en-GB"/>
        </w:rPr>
      </w:pPr>
      <w:r w:rsidRPr="002C6A1B">
        <w:rPr>
          <w:rFonts w:ascii="Arial" w:eastAsia="Times New Roman" w:hAnsi="Arial" w:cs="Arial"/>
          <w:lang w:val="en-GB"/>
        </w:rPr>
        <w:t>Provision of quality basic services and infrastructure</w:t>
      </w:r>
      <w:r w:rsidR="00D70899" w:rsidRPr="002C6A1B">
        <w:rPr>
          <w:rFonts w:ascii="Arial" w:eastAsia="Times New Roman" w:hAnsi="Arial" w:cs="Arial"/>
          <w:lang w:val="en-GB"/>
        </w:rPr>
        <w:t xml:space="preserve"> which includes, amongst others:</w:t>
      </w:r>
    </w:p>
    <w:p w:rsidR="00D70899" w:rsidRPr="00993D4D" w:rsidRDefault="00D70899" w:rsidP="00E50C0E">
      <w:pPr>
        <w:numPr>
          <w:ilvl w:val="1"/>
          <w:numId w:val="5"/>
        </w:numPr>
        <w:spacing w:after="0" w:line="240" w:lineRule="auto"/>
        <w:jc w:val="both"/>
        <w:rPr>
          <w:rFonts w:ascii="Arial" w:hAnsi="Arial" w:cs="Arial"/>
        </w:rPr>
      </w:pPr>
      <w:bookmarkStart w:id="102" w:name="OLE_LINK1"/>
      <w:r w:rsidRPr="00993D4D">
        <w:rPr>
          <w:rFonts w:ascii="Arial" w:hAnsi="Arial" w:cs="Arial"/>
        </w:rPr>
        <w:t>Provide electricity;</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water;</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sanitation;</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waste removal;</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housing;</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roads and storm water;</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public transport;</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Provide city planning services; and</w:t>
      </w:r>
    </w:p>
    <w:p w:rsidR="00D70899" w:rsidRPr="00F57E55" w:rsidRDefault="00D70899" w:rsidP="00E50C0E">
      <w:pPr>
        <w:numPr>
          <w:ilvl w:val="1"/>
          <w:numId w:val="5"/>
        </w:numPr>
        <w:spacing w:after="0" w:line="240" w:lineRule="auto"/>
        <w:jc w:val="both"/>
        <w:rPr>
          <w:rFonts w:ascii="Arial" w:eastAsia="Times New Roman" w:hAnsi="Arial" w:cs="Arial"/>
          <w:lang w:val="en-GB"/>
        </w:rPr>
      </w:pPr>
      <w:r w:rsidRPr="00993D4D">
        <w:rPr>
          <w:rFonts w:ascii="Arial" w:hAnsi="Arial" w:cs="Arial"/>
        </w:rPr>
        <w:t>Maintaining the infrastructure of the City.</w:t>
      </w:r>
      <w:bookmarkEnd w:id="102"/>
    </w:p>
    <w:p w:rsidR="00532C11" w:rsidRPr="00F57E55" w:rsidRDefault="00532C11" w:rsidP="00F57E55">
      <w:pPr>
        <w:pStyle w:val="ListParagraph"/>
        <w:autoSpaceDE w:val="0"/>
        <w:autoSpaceDN w:val="0"/>
        <w:adjustRightInd w:val="0"/>
        <w:spacing w:after="0" w:line="240" w:lineRule="auto"/>
        <w:jc w:val="both"/>
        <w:rPr>
          <w:rFonts w:ascii="Arial" w:eastAsia="Times New Roman" w:hAnsi="Arial" w:cs="Arial"/>
          <w:lang w:val="en-GB"/>
        </w:rPr>
      </w:pPr>
    </w:p>
    <w:p w:rsidR="00D70899" w:rsidRPr="002C6A1B" w:rsidRDefault="00CC2DB3" w:rsidP="00E50C0E">
      <w:pPr>
        <w:pStyle w:val="ListParagraph"/>
        <w:numPr>
          <w:ilvl w:val="0"/>
          <w:numId w:val="14"/>
        </w:numPr>
        <w:autoSpaceDE w:val="0"/>
        <w:autoSpaceDN w:val="0"/>
        <w:adjustRightInd w:val="0"/>
        <w:spacing w:after="0" w:line="240" w:lineRule="auto"/>
        <w:jc w:val="both"/>
        <w:rPr>
          <w:rFonts w:ascii="Arial" w:eastAsia="Times New Roman" w:hAnsi="Arial" w:cs="Arial"/>
          <w:lang w:val="en-GB"/>
        </w:rPr>
      </w:pPr>
      <w:r w:rsidRPr="002C6A1B">
        <w:rPr>
          <w:rFonts w:ascii="Arial" w:eastAsia="Times New Roman" w:hAnsi="Arial" w:cs="Arial"/>
          <w:lang w:val="en-GB"/>
        </w:rPr>
        <w:t>Economic growth and development that leads to sustainable job creation</w:t>
      </w:r>
      <w:r w:rsidR="00D70899" w:rsidRPr="002C6A1B">
        <w:rPr>
          <w:rFonts w:ascii="Arial" w:eastAsia="Times New Roman" w:hAnsi="Arial" w:cs="Arial"/>
          <w:lang w:val="en-GB"/>
        </w:rPr>
        <w:t xml:space="preserve"> by:</w:t>
      </w:r>
    </w:p>
    <w:p w:rsidR="00CC2DB3" w:rsidRDefault="00CC2DB3" w:rsidP="00E50C0E">
      <w:pPr>
        <w:numPr>
          <w:ilvl w:val="1"/>
          <w:numId w:val="5"/>
        </w:numPr>
        <w:spacing w:after="0" w:line="240" w:lineRule="auto"/>
        <w:jc w:val="both"/>
        <w:rPr>
          <w:rFonts w:ascii="Arial" w:hAnsi="Arial" w:cs="Arial"/>
        </w:rPr>
      </w:pPr>
      <w:r>
        <w:rPr>
          <w:rFonts w:ascii="Arial" w:hAnsi="Arial" w:cs="Arial"/>
        </w:rPr>
        <w:t>Ensuring the is a clear structural plan for the City</w:t>
      </w:r>
      <w:r w:rsidR="00D70899" w:rsidRPr="00993D4D">
        <w:rPr>
          <w:rFonts w:ascii="Arial" w:hAnsi="Arial" w:cs="Arial"/>
        </w:rPr>
        <w:t>;</w:t>
      </w:r>
    </w:p>
    <w:p w:rsidR="00CC2DB3" w:rsidRDefault="00CC2DB3" w:rsidP="00E50C0E">
      <w:pPr>
        <w:numPr>
          <w:ilvl w:val="1"/>
          <w:numId w:val="5"/>
        </w:numPr>
        <w:spacing w:after="0" w:line="240" w:lineRule="auto"/>
        <w:jc w:val="both"/>
        <w:rPr>
          <w:rFonts w:ascii="Arial" w:hAnsi="Arial" w:cs="Arial"/>
        </w:rPr>
      </w:pPr>
      <w:r>
        <w:rPr>
          <w:rFonts w:ascii="Arial" w:hAnsi="Arial" w:cs="Arial"/>
        </w:rPr>
        <w:t>Ensuring planning processes function in accordance with set timeframes;</w:t>
      </w:r>
    </w:p>
    <w:p w:rsidR="00D70899" w:rsidRPr="00CC2DB3" w:rsidRDefault="00CC2DB3" w:rsidP="00E50C0E">
      <w:pPr>
        <w:numPr>
          <w:ilvl w:val="1"/>
          <w:numId w:val="5"/>
        </w:numPr>
        <w:spacing w:after="0" w:line="240" w:lineRule="auto"/>
        <w:jc w:val="both"/>
        <w:rPr>
          <w:rFonts w:ascii="Arial" w:hAnsi="Arial" w:cs="Arial"/>
        </w:rPr>
      </w:pPr>
      <w:r>
        <w:rPr>
          <w:rFonts w:ascii="Arial" w:hAnsi="Arial" w:cs="Arial"/>
        </w:rPr>
        <w:t xml:space="preserve">Facilitating the use of </w:t>
      </w:r>
      <w:proofErr w:type="spellStart"/>
      <w:r>
        <w:rPr>
          <w:rFonts w:ascii="Arial" w:hAnsi="Arial" w:cs="Arial"/>
        </w:rPr>
        <w:t>labour</w:t>
      </w:r>
      <w:proofErr w:type="spellEnd"/>
      <w:r>
        <w:rPr>
          <w:rFonts w:ascii="Arial" w:hAnsi="Arial" w:cs="Arial"/>
        </w:rPr>
        <w:t xml:space="preserve"> intensive approaches in the delivery of services and the building of infrastructure</w:t>
      </w:r>
      <w:r w:rsidR="00D70899" w:rsidRPr="00CC2DB3">
        <w:rPr>
          <w:rFonts w:ascii="Arial" w:hAnsi="Arial" w:cs="Arial"/>
        </w:rPr>
        <w:t>.</w:t>
      </w:r>
    </w:p>
    <w:p w:rsidR="002C6A1B" w:rsidRDefault="002C6A1B" w:rsidP="002C6A1B">
      <w:pPr>
        <w:autoSpaceDE w:val="0"/>
        <w:autoSpaceDN w:val="0"/>
        <w:adjustRightInd w:val="0"/>
        <w:spacing w:after="0" w:line="240" w:lineRule="auto"/>
        <w:jc w:val="both"/>
        <w:rPr>
          <w:rFonts w:ascii="Arial" w:eastAsia="Times New Roman" w:hAnsi="Arial" w:cs="Arial"/>
          <w:lang w:val="en-GB"/>
        </w:rPr>
      </w:pPr>
    </w:p>
    <w:p w:rsidR="00D70899" w:rsidRPr="002C6A1B" w:rsidRDefault="002C6A1B" w:rsidP="002C6A1B">
      <w:pPr>
        <w:tabs>
          <w:tab w:val="left" w:pos="851"/>
        </w:tabs>
        <w:autoSpaceDE w:val="0"/>
        <w:autoSpaceDN w:val="0"/>
        <w:adjustRightInd w:val="0"/>
        <w:spacing w:after="0" w:line="240" w:lineRule="auto"/>
        <w:ind w:left="426"/>
        <w:jc w:val="both"/>
        <w:rPr>
          <w:rFonts w:ascii="Arial" w:eastAsia="Times New Roman" w:hAnsi="Arial" w:cs="Arial"/>
          <w:lang w:val="en-GB"/>
        </w:rPr>
      </w:pPr>
      <w:r>
        <w:rPr>
          <w:rFonts w:ascii="Arial" w:eastAsia="Times New Roman" w:hAnsi="Arial" w:cs="Arial"/>
          <w:lang w:val="en-GB"/>
        </w:rPr>
        <w:t>3.1</w:t>
      </w:r>
      <w:r>
        <w:rPr>
          <w:rFonts w:ascii="Arial" w:eastAsia="Times New Roman" w:hAnsi="Arial" w:cs="Arial"/>
          <w:lang w:val="en-GB"/>
        </w:rPr>
        <w:tab/>
      </w:r>
      <w:r w:rsidR="00CC2DB3" w:rsidRPr="002C6A1B">
        <w:rPr>
          <w:rFonts w:ascii="Arial" w:eastAsia="Times New Roman" w:hAnsi="Arial" w:cs="Arial"/>
          <w:lang w:val="en-GB"/>
        </w:rPr>
        <w:t>Fight poverty and build clean, healthy, safe and sustainable communities</w:t>
      </w:r>
      <w:r w:rsidR="00D70899" w:rsidRPr="002C6A1B">
        <w:rPr>
          <w:rFonts w:ascii="Arial" w:eastAsia="Times New Roman" w:hAnsi="Arial" w:cs="Arial"/>
          <w:lang w:val="en-GB"/>
        </w:rPr>
        <w:t>:</w:t>
      </w:r>
    </w:p>
    <w:p w:rsidR="00D70899" w:rsidRPr="00993D4D" w:rsidRDefault="00CC2DB3" w:rsidP="00E50C0E">
      <w:pPr>
        <w:numPr>
          <w:ilvl w:val="1"/>
          <w:numId w:val="5"/>
        </w:numPr>
        <w:spacing w:after="0" w:line="240" w:lineRule="auto"/>
        <w:jc w:val="both"/>
        <w:rPr>
          <w:rFonts w:ascii="Arial" w:hAnsi="Arial" w:cs="Arial"/>
        </w:rPr>
      </w:pPr>
      <w:r>
        <w:rPr>
          <w:rFonts w:ascii="Arial" w:hAnsi="Arial" w:cs="Arial"/>
        </w:rPr>
        <w:t>Effective implementation of the Indigent Policy</w:t>
      </w:r>
      <w:r w:rsidR="00D70899" w:rsidRPr="00993D4D">
        <w:rPr>
          <w:rFonts w:ascii="Arial" w:hAnsi="Arial" w:cs="Arial"/>
        </w:rPr>
        <w:t>;</w:t>
      </w:r>
    </w:p>
    <w:p w:rsidR="00D70899" w:rsidRDefault="00CC2DB3" w:rsidP="00E50C0E">
      <w:pPr>
        <w:numPr>
          <w:ilvl w:val="1"/>
          <w:numId w:val="5"/>
        </w:numPr>
        <w:spacing w:after="0" w:line="240" w:lineRule="auto"/>
        <w:jc w:val="both"/>
        <w:rPr>
          <w:rFonts w:ascii="Arial" w:hAnsi="Arial" w:cs="Arial"/>
        </w:rPr>
      </w:pPr>
      <w:r>
        <w:rPr>
          <w:rFonts w:ascii="Arial" w:hAnsi="Arial" w:cs="Arial"/>
        </w:rPr>
        <w:t xml:space="preserve">Working with the provincial department of health to provide </w:t>
      </w:r>
      <w:r w:rsidR="00D70899" w:rsidRPr="00993D4D">
        <w:rPr>
          <w:rFonts w:ascii="Arial" w:hAnsi="Arial" w:cs="Arial"/>
        </w:rPr>
        <w:t>primary health care services;</w:t>
      </w:r>
    </w:p>
    <w:p w:rsidR="002C6A1B" w:rsidRDefault="002C6A1B" w:rsidP="00E50C0E">
      <w:pPr>
        <w:numPr>
          <w:ilvl w:val="1"/>
          <w:numId w:val="5"/>
        </w:numPr>
        <w:spacing w:after="0" w:line="240" w:lineRule="auto"/>
        <w:jc w:val="both"/>
        <w:rPr>
          <w:rFonts w:ascii="Arial" w:hAnsi="Arial" w:cs="Arial"/>
        </w:rPr>
      </w:pPr>
      <w:r>
        <w:rPr>
          <w:rFonts w:ascii="Arial" w:hAnsi="Arial" w:cs="Arial"/>
        </w:rPr>
        <w:t>Extending waste removal services and ensuring effective city cleansing;</w:t>
      </w:r>
    </w:p>
    <w:p w:rsidR="002C6A1B" w:rsidRPr="00993D4D" w:rsidRDefault="002C6A1B" w:rsidP="00E50C0E">
      <w:pPr>
        <w:numPr>
          <w:ilvl w:val="1"/>
          <w:numId w:val="5"/>
        </w:numPr>
        <w:spacing w:after="0" w:line="240" w:lineRule="auto"/>
        <w:jc w:val="both"/>
        <w:rPr>
          <w:rFonts w:ascii="Arial" w:hAnsi="Arial" w:cs="Arial"/>
        </w:rPr>
      </w:pPr>
      <w:r>
        <w:rPr>
          <w:rFonts w:ascii="Arial" w:hAnsi="Arial" w:cs="Arial"/>
        </w:rPr>
        <w:t>Ensuring all waste water treatment works are operating optimally;</w:t>
      </w:r>
    </w:p>
    <w:p w:rsidR="00D70899" w:rsidRPr="00993D4D" w:rsidRDefault="002C6A1B" w:rsidP="00E50C0E">
      <w:pPr>
        <w:numPr>
          <w:ilvl w:val="1"/>
          <w:numId w:val="5"/>
        </w:numPr>
        <w:spacing w:after="0" w:line="240" w:lineRule="auto"/>
        <w:jc w:val="both"/>
        <w:rPr>
          <w:rFonts w:ascii="Arial" w:hAnsi="Arial" w:cs="Arial"/>
        </w:rPr>
      </w:pPr>
      <w:r>
        <w:rPr>
          <w:rFonts w:ascii="Arial" w:hAnsi="Arial" w:cs="Arial"/>
        </w:rPr>
        <w:t>W</w:t>
      </w:r>
      <w:r w:rsidR="00D70899" w:rsidRPr="00993D4D">
        <w:rPr>
          <w:rFonts w:ascii="Arial" w:hAnsi="Arial" w:cs="Arial"/>
        </w:rPr>
        <w:t>orking with strategic partners such as SAPS</w:t>
      </w:r>
      <w:r>
        <w:rPr>
          <w:rFonts w:ascii="Arial" w:hAnsi="Arial" w:cs="Arial"/>
        </w:rPr>
        <w:t xml:space="preserve"> to address crime</w:t>
      </w:r>
      <w:r w:rsidR="00D70899" w:rsidRPr="00993D4D">
        <w:rPr>
          <w:rFonts w:ascii="Arial" w:hAnsi="Arial" w:cs="Arial"/>
        </w:rPr>
        <w:t>;</w:t>
      </w:r>
    </w:p>
    <w:p w:rsidR="002C6A1B" w:rsidRDefault="002C6A1B" w:rsidP="00E50C0E">
      <w:pPr>
        <w:numPr>
          <w:ilvl w:val="1"/>
          <w:numId w:val="5"/>
        </w:numPr>
        <w:spacing w:after="0" w:line="240" w:lineRule="auto"/>
        <w:jc w:val="both"/>
        <w:rPr>
          <w:rFonts w:ascii="Arial" w:hAnsi="Arial" w:cs="Arial"/>
        </w:rPr>
      </w:pPr>
      <w:r>
        <w:rPr>
          <w:rFonts w:ascii="Arial" w:hAnsi="Arial" w:cs="Arial"/>
        </w:rPr>
        <w:t>Ensuring save working environments by effective enforcement of building and health regulations;</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Promote viable</w:t>
      </w:r>
      <w:r w:rsidR="002C6A1B">
        <w:rPr>
          <w:rFonts w:ascii="Arial" w:hAnsi="Arial" w:cs="Arial"/>
        </w:rPr>
        <w:t>,</w:t>
      </w:r>
      <w:r w:rsidRPr="00993D4D">
        <w:rPr>
          <w:rFonts w:ascii="Arial" w:hAnsi="Arial" w:cs="Arial"/>
        </w:rPr>
        <w:t xml:space="preserve"> sustainable communities</w:t>
      </w:r>
      <w:r w:rsidR="002C6A1B">
        <w:rPr>
          <w:rFonts w:ascii="Arial" w:hAnsi="Arial" w:cs="Arial"/>
        </w:rPr>
        <w:t xml:space="preserve"> through proper zoning</w:t>
      </w:r>
      <w:r w:rsidRPr="00993D4D">
        <w:rPr>
          <w:rFonts w:ascii="Arial" w:hAnsi="Arial" w:cs="Arial"/>
        </w:rPr>
        <w:t>; and</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Promote environmental sustainability</w:t>
      </w:r>
      <w:r w:rsidR="002C6A1B">
        <w:rPr>
          <w:rFonts w:ascii="Arial" w:hAnsi="Arial" w:cs="Arial"/>
        </w:rPr>
        <w:t xml:space="preserve"> by protecting wetlands and key open spaces</w:t>
      </w:r>
      <w:r w:rsidRPr="00993D4D">
        <w:rPr>
          <w:rFonts w:ascii="Arial" w:hAnsi="Arial" w:cs="Arial"/>
        </w:rPr>
        <w:t>.</w:t>
      </w:r>
    </w:p>
    <w:p w:rsidR="00D70899" w:rsidRPr="00F57E55" w:rsidRDefault="00D70899" w:rsidP="00F57E55">
      <w:pPr>
        <w:pStyle w:val="ListParagraph"/>
        <w:autoSpaceDE w:val="0"/>
        <w:autoSpaceDN w:val="0"/>
        <w:adjustRightInd w:val="0"/>
        <w:spacing w:after="0" w:line="240" w:lineRule="auto"/>
        <w:ind w:left="1080"/>
        <w:jc w:val="both"/>
        <w:rPr>
          <w:rFonts w:ascii="Arial" w:eastAsia="Times New Roman" w:hAnsi="Arial" w:cs="Arial"/>
          <w:lang w:val="en-GB"/>
        </w:rPr>
      </w:pPr>
    </w:p>
    <w:p w:rsidR="002C6A1B" w:rsidRPr="002C6A1B" w:rsidRDefault="002C6A1B" w:rsidP="002C6A1B">
      <w:pPr>
        <w:tabs>
          <w:tab w:val="left" w:pos="851"/>
        </w:tabs>
        <w:autoSpaceDE w:val="0"/>
        <w:autoSpaceDN w:val="0"/>
        <w:adjustRightInd w:val="0"/>
        <w:spacing w:after="0" w:line="240" w:lineRule="auto"/>
        <w:ind w:left="426"/>
        <w:jc w:val="both"/>
        <w:rPr>
          <w:rFonts w:ascii="Arial" w:eastAsia="Times New Roman" w:hAnsi="Arial" w:cs="Arial"/>
          <w:lang w:val="en-GB"/>
        </w:rPr>
      </w:pPr>
      <w:r>
        <w:rPr>
          <w:rFonts w:ascii="Arial" w:eastAsia="Times New Roman" w:hAnsi="Arial" w:cs="Arial"/>
          <w:lang w:val="en-GB"/>
        </w:rPr>
        <w:t>3.2</w:t>
      </w:r>
      <w:r>
        <w:rPr>
          <w:rFonts w:ascii="Arial" w:eastAsia="Times New Roman" w:hAnsi="Arial" w:cs="Arial"/>
          <w:lang w:val="en-GB"/>
        </w:rPr>
        <w:tab/>
      </w:r>
      <w:r w:rsidRPr="002C6A1B">
        <w:rPr>
          <w:rFonts w:ascii="Arial" w:eastAsia="Times New Roman" w:hAnsi="Arial" w:cs="Arial"/>
          <w:lang w:val="en-GB"/>
        </w:rPr>
        <w:t>Integrated Social Services for empowered and sustainable communities</w:t>
      </w:r>
    </w:p>
    <w:p w:rsidR="002C6A1B" w:rsidRDefault="002C6A1B" w:rsidP="00E50C0E">
      <w:pPr>
        <w:numPr>
          <w:ilvl w:val="1"/>
          <w:numId w:val="5"/>
        </w:numPr>
        <w:spacing w:after="0" w:line="240" w:lineRule="auto"/>
        <w:jc w:val="both"/>
        <w:rPr>
          <w:rFonts w:ascii="Arial" w:hAnsi="Arial" w:cs="Arial"/>
        </w:rPr>
      </w:pPr>
      <w:r>
        <w:rPr>
          <w:rFonts w:ascii="Arial" w:hAnsi="Arial" w:cs="Arial"/>
        </w:rPr>
        <w:t xml:space="preserve">Work with provincial departments to ensure the development of community infrastructure such as schools and clinics is properly </w:t>
      </w:r>
      <w:proofErr w:type="spellStart"/>
      <w:r>
        <w:rPr>
          <w:rFonts w:ascii="Arial" w:hAnsi="Arial" w:cs="Arial"/>
        </w:rPr>
        <w:t>co-ordinated</w:t>
      </w:r>
      <w:proofErr w:type="spellEnd"/>
      <w:r>
        <w:rPr>
          <w:rFonts w:ascii="Arial" w:hAnsi="Arial" w:cs="Arial"/>
        </w:rPr>
        <w:t xml:space="preserve"> with the informal settlements upgrade </w:t>
      </w:r>
      <w:proofErr w:type="spellStart"/>
      <w:r>
        <w:rPr>
          <w:rFonts w:ascii="Arial" w:hAnsi="Arial" w:cs="Arial"/>
        </w:rPr>
        <w:t>programme</w:t>
      </w:r>
      <w:proofErr w:type="spellEnd"/>
    </w:p>
    <w:p w:rsidR="002C6A1B" w:rsidRPr="002C6A1B" w:rsidRDefault="002C6A1B" w:rsidP="002C6A1B">
      <w:pPr>
        <w:spacing w:after="0" w:line="240" w:lineRule="auto"/>
        <w:ind w:left="1440"/>
        <w:jc w:val="both"/>
        <w:rPr>
          <w:rFonts w:ascii="Arial" w:hAnsi="Arial" w:cs="Arial"/>
        </w:rPr>
      </w:pPr>
    </w:p>
    <w:p w:rsidR="00D70899" w:rsidRPr="002C6A1B" w:rsidRDefault="002C6A1B" w:rsidP="002C6A1B">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4.</w:t>
      </w:r>
      <w:r>
        <w:rPr>
          <w:rFonts w:ascii="Arial" w:eastAsia="Times New Roman" w:hAnsi="Arial" w:cs="Arial"/>
          <w:lang w:val="en-GB"/>
        </w:rPr>
        <w:tab/>
      </w:r>
      <w:r w:rsidRPr="002C6A1B">
        <w:rPr>
          <w:rFonts w:ascii="Arial" w:eastAsia="Times New Roman" w:hAnsi="Arial" w:cs="Arial"/>
          <w:lang w:val="en-GB"/>
        </w:rPr>
        <w:t>Foster participatory democracy and Batho Pele principles through a caring, accessible and accountable service</w:t>
      </w:r>
      <w:r w:rsidR="00830756" w:rsidRPr="002C6A1B">
        <w:rPr>
          <w:rFonts w:ascii="Arial" w:eastAsia="Times New Roman" w:hAnsi="Arial" w:cs="Arial"/>
          <w:lang w:val="en-GB"/>
        </w:rPr>
        <w:t xml:space="preserve"> by</w:t>
      </w:r>
      <w:r w:rsidR="00D70899" w:rsidRPr="002C6A1B">
        <w:rPr>
          <w:rFonts w:ascii="Arial" w:eastAsia="Times New Roman" w:hAnsi="Arial" w:cs="Arial"/>
          <w:lang w:val="en-GB"/>
        </w:rPr>
        <w:t>:</w:t>
      </w:r>
    </w:p>
    <w:p w:rsidR="00D70899" w:rsidRPr="00993D4D" w:rsidRDefault="00D70899" w:rsidP="00E50C0E">
      <w:pPr>
        <w:numPr>
          <w:ilvl w:val="1"/>
          <w:numId w:val="5"/>
        </w:numPr>
        <w:spacing w:after="0" w:line="240" w:lineRule="auto"/>
        <w:jc w:val="both"/>
        <w:rPr>
          <w:rFonts w:ascii="Arial" w:hAnsi="Arial" w:cs="Arial"/>
        </w:rPr>
      </w:pPr>
      <w:proofErr w:type="spellStart"/>
      <w:r w:rsidRPr="00993D4D">
        <w:rPr>
          <w:rFonts w:ascii="Arial" w:hAnsi="Arial" w:cs="Arial"/>
        </w:rPr>
        <w:t>Optimis</w:t>
      </w:r>
      <w:r w:rsidR="00830756" w:rsidRPr="00993D4D">
        <w:rPr>
          <w:rFonts w:ascii="Arial" w:hAnsi="Arial" w:cs="Arial"/>
        </w:rPr>
        <w:t>ing</w:t>
      </w:r>
      <w:proofErr w:type="spellEnd"/>
      <w:r w:rsidR="00830756" w:rsidRPr="00993D4D">
        <w:rPr>
          <w:rFonts w:ascii="Arial" w:hAnsi="Arial" w:cs="Arial"/>
        </w:rPr>
        <w:t xml:space="preserve"> </w:t>
      </w:r>
      <w:r w:rsidRPr="00993D4D">
        <w:rPr>
          <w:rFonts w:ascii="Arial" w:hAnsi="Arial" w:cs="Arial"/>
        </w:rPr>
        <w:t>effective community participation in the ward committee system; and</w:t>
      </w:r>
    </w:p>
    <w:p w:rsidR="00D70899" w:rsidRPr="00993D4D" w:rsidRDefault="00D70899" w:rsidP="00E50C0E">
      <w:pPr>
        <w:numPr>
          <w:ilvl w:val="1"/>
          <w:numId w:val="5"/>
        </w:numPr>
        <w:spacing w:after="0" w:line="240" w:lineRule="auto"/>
        <w:jc w:val="both"/>
        <w:rPr>
          <w:rFonts w:ascii="Arial" w:hAnsi="Arial" w:cs="Arial"/>
        </w:rPr>
      </w:pPr>
      <w:r w:rsidRPr="00993D4D">
        <w:rPr>
          <w:rFonts w:ascii="Arial" w:hAnsi="Arial" w:cs="Arial"/>
        </w:rPr>
        <w:t>Implement</w:t>
      </w:r>
      <w:r w:rsidR="002C6A1B">
        <w:rPr>
          <w:rFonts w:ascii="Arial" w:hAnsi="Arial" w:cs="Arial"/>
        </w:rPr>
        <w:t>ing</w:t>
      </w:r>
      <w:r w:rsidR="00892BE3">
        <w:rPr>
          <w:rFonts w:ascii="Arial" w:hAnsi="Arial" w:cs="Arial"/>
        </w:rPr>
        <w:t xml:space="preserve"> Batho Pele</w:t>
      </w:r>
      <w:r w:rsidRPr="00993D4D">
        <w:rPr>
          <w:rFonts w:ascii="Arial" w:hAnsi="Arial" w:cs="Arial"/>
        </w:rPr>
        <w:t xml:space="preserve"> </w:t>
      </w:r>
      <w:r w:rsidR="002C6A1B">
        <w:rPr>
          <w:rFonts w:ascii="Arial" w:hAnsi="Arial" w:cs="Arial"/>
        </w:rPr>
        <w:t>in the revenue management strategy</w:t>
      </w:r>
      <w:r w:rsidRPr="00993D4D">
        <w:rPr>
          <w:rFonts w:ascii="Arial" w:hAnsi="Arial" w:cs="Arial"/>
        </w:rPr>
        <w:t>.</w:t>
      </w:r>
    </w:p>
    <w:p w:rsidR="00830756" w:rsidRPr="00F57E55" w:rsidRDefault="00830756" w:rsidP="00F57E55">
      <w:pPr>
        <w:pStyle w:val="ListParagraph"/>
        <w:autoSpaceDE w:val="0"/>
        <w:autoSpaceDN w:val="0"/>
        <w:adjustRightInd w:val="0"/>
        <w:spacing w:after="0" w:line="240" w:lineRule="auto"/>
        <w:jc w:val="both"/>
        <w:rPr>
          <w:rFonts w:ascii="Arial" w:eastAsia="Times New Roman" w:hAnsi="Arial" w:cs="Arial"/>
          <w:lang w:val="en-GB"/>
        </w:rPr>
      </w:pPr>
    </w:p>
    <w:p w:rsidR="002C6A1B" w:rsidRDefault="00A57BC1" w:rsidP="00A57BC1">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5.1</w:t>
      </w:r>
      <w:r>
        <w:rPr>
          <w:rFonts w:ascii="Arial" w:eastAsia="Times New Roman" w:hAnsi="Arial" w:cs="Arial"/>
          <w:lang w:val="en-GB"/>
        </w:rPr>
        <w:tab/>
      </w:r>
      <w:r w:rsidR="002C6A1B" w:rsidRPr="00FE1212">
        <w:rPr>
          <w:rFonts w:ascii="Arial" w:eastAsia="Times New Roman" w:hAnsi="Arial" w:cs="Arial"/>
          <w:lang w:val="en-GB"/>
        </w:rPr>
        <w:t>Promote sound governance</w:t>
      </w:r>
      <w:r w:rsidR="002C6A1B" w:rsidRPr="002C6A1B">
        <w:rPr>
          <w:rFonts w:ascii="Arial" w:eastAsia="Times New Roman" w:hAnsi="Arial" w:cs="Arial"/>
          <w:lang w:val="en-GB"/>
        </w:rPr>
        <w:t xml:space="preserve"> </w:t>
      </w:r>
      <w:r>
        <w:rPr>
          <w:rFonts w:ascii="Arial" w:eastAsia="Times New Roman" w:hAnsi="Arial" w:cs="Arial"/>
          <w:lang w:val="en-GB"/>
        </w:rPr>
        <w:t>through:</w:t>
      </w:r>
    </w:p>
    <w:p w:rsidR="00A57BC1" w:rsidRPr="00A57BC1" w:rsidRDefault="00A57BC1" w:rsidP="00E50C0E">
      <w:pPr>
        <w:numPr>
          <w:ilvl w:val="1"/>
          <w:numId w:val="5"/>
        </w:numPr>
        <w:spacing w:after="0" w:line="240" w:lineRule="auto"/>
        <w:jc w:val="both"/>
        <w:rPr>
          <w:rFonts w:ascii="Arial" w:hAnsi="Arial" w:cs="Arial"/>
        </w:rPr>
      </w:pPr>
      <w:r>
        <w:rPr>
          <w:rFonts w:ascii="Arial" w:hAnsi="Arial" w:cs="Arial"/>
        </w:rPr>
        <w:t>Publishing the outcomes of all tender processes on the municipal website</w:t>
      </w:r>
    </w:p>
    <w:p w:rsidR="002C6A1B" w:rsidRDefault="002C6A1B" w:rsidP="002C6A1B">
      <w:pPr>
        <w:autoSpaceDE w:val="0"/>
        <w:autoSpaceDN w:val="0"/>
        <w:adjustRightInd w:val="0"/>
        <w:spacing w:after="0" w:line="240" w:lineRule="auto"/>
        <w:jc w:val="both"/>
        <w:rPr>
          <w:rFonts w:ascii="Arial" w:eastAsia="Times New Roman" w:hAnsi="Arial" w:cs="Arial"/>
          <w:lang w:val="en-GB"/>
        </w:rPr>
      </w:pPr>
    </w:p>
    <w:p w:rsidR="00A57BC1" w:rsidRDefault="00A57BC1" w:rsidP="00A57BC1">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5.2</w:t>
      </w:r>
      <w:r>
        <w:rPr>
          <w:rFonts w:ascii="Arial" w:eastAsia="Times New Roman" w:hAnsi="Arial" w:cs="Arial"/>
          <w:lang w:val="en-GB"/>
        </w:rPr>
        <w:tab/>
      </w:r>
      <w:r w:rsidRPr="00FE1212">
        <w:rPr>
          <w:rFonts w:ascii="Arial" w:eastAsia="Times New Roman" w:hAnsi="Arial" w:cs="Arial"/>
          <w:lang w:val="en-GB"/>
        </w:rPr>
        <w:t>Ensure financial sustainability</w:t>
      </w:r>
      <w:r>
        <w:rPr>
          <w:rFonts w:ascii="Arial" w:eastAsia="Times New Roman" w:hAnsi="Arial" w:cs="Arial"/>
          <w:lang w:val="en-GB"/>
        </w:rPr>
        <w:t xml:space="preserve"> through:</w:t>
      </w:r>
    </w:p>
    <w:p w:rsidR="00A57BC1" w:rsidRDefault="00A57BC1" w:rsidP="00E50C0E">
      <w:pPr>
        <w:numPr>
          <w:ilvl w:val="1"/>
          <w:numId w:val="5"/>
        </w:numPr>
        <w:spacing w:after="0" w:line="240" w:lineRule="auto"/>
        <w:jc w:val="both"/>
        <w:rPr>
          <w:rFonts w:ascii="Arial" w:hAnsi="Arial" w:cs="Arial"/>
        </w:rPr>
      </w:pPr>
      <w:r>
        <w:rPr>
          <w:rFonts w:ascii="Arial" w:hAnsi="Arial" w:cs="Arial"/>
        </w:rPr>
        <w:t>Reviewing the use of contracted services</w:t>
      </w:r>
    </w:p>
    <w:p w:rsidR="00A57BC1" w:rsidRDefault="00A57BC1" w:rsidP="00E50C0E">
      <w:pPr>
        <w:numPr>
          <w:ilvl w:val="1"/>
          <w:numId w:val="5"/>
        </w:numPr>
        <w:spacing w:after="0" w:line="240" w:lineRule="auto"/>
        <w:jc w:val="both"/>
        <w:rPr>
          <w:rFonts w:ascii="Arial" w:hAnsi="Arial" w:cs="Arial"/>
        </w:rPr>
      </w:pPr>
      <w:r>
        <w:rPr>
          <w:rFonts w:ascii="Arial" w:hAnsi="Arial" w:cs="Arial"/>
        </w:rPr>
        <w:t>Continuing to implement the infrastructure renewal strategy and the repairs and maintenance plan</w:t>
      </w:r>
    </w:p>
    <w:p w:rsidR="00A57BC1" w:rsidRDefault="00A57BC1" w:rsidP="00A57BC1">
      <w:pPr>
        <w:spacing w:after="0" w:line="240" w:lineRule="auto"/>
        <w:jc w:val="both"/>
        <w:rPr>
          <w:rFonts w:ascii="Arial" w:hAnsi="Arial" w:cs="Arial"/>
        </w:rPr>
      </w:pPr>
    </w:p>
    <w:p w:rsidR="00A57BC1" w:rsidRPr="00A57BC1" w:rsidRDefault="00A57BC1" w:rsidP="00A57BC1">
      <w:pPr>
        <w:tabs>
          <w:tab w:val="left" w:pos="851"/>
        </w:tabs>
        <w:autoSpaceDE w:val="0"/>
        <w:autoSpaceDN w:val="0"/>
        <w:adjustRightInd w:val="0"/>
        <w:spacing w:after="0" w:line="240" w:lineRule="auto"/>
        <w:ind w:left="851" w:hanging="425"/>
        <w:jc w:val="both"/>
        <w:rPr>
          <w:rFonts w:ascii="Arial" w:eastAsia="Times New Roman" w:hAnsi="Arial" w:cs="Arial"/>
          <w:lang w:val="en-GB"/>
        </w:rPr>
      </w:pPr>
      <w:r>
        <w:rPr>
          <w:rFonts w:ascii="Arial" w:eastAsia="Times New Roman" w:hAnsi="Arial" w:cs="Arial"/>
          <w:lang w:val="en-GB"/>
        </w:rPr>
        <w:t>5.3</w:t>
      </w:r>
      <w:r>
        <w:rPr>
          <w:rFonts w:ascii="Arial" w:eastAsia="Times New Roman" w:hAnsi="Arial" w:cs="Arial"/>
          <w:lang w:val="en-GB"/>
        </w:rPr>
        <w:tab/>
      </w:r>
      <w:r w:rsidRPr="00FE1212">
        <w:rPr>
          <w:rFonts w:ascii="Arial" w:eastAsia="Times New Roman" w:hAnsi="Arial" w:cs="Arial"/>
          <w:lang w:val="en-GB"/>
        </w:rPr>
        <w:t>Optimal institutional transformation to ensure capacity to achieve set objectives</w:t>
      </w:r>
    </w:p>
    <w:p w:rsidR="00A57BC1" w:rsidRDefault="00A57BC1" w:rsidP="00E50C0E">
      <w:pPr>
        <w:numPr>
          <w:ilvl w:val="1"/>
          <w:numId w:val="5"/>
        </w:numPr>
        <w:spacing w:after="0" w:line="240" w:lineRule="auto"/>
        <w:jc w:val="both"/>
        <w:rPr>
          <w:rFonts w:ascii="Arial" w:hAnsi="Arial" w:cs="Arial"/>
        </w:rPr>
      </w:pPr>
      <w:r>
        <w:rPr>
          <w:rFonts w:ascii="Arial" w:hAnsi="Arial" w:cs="Arial"/>
        </w:rPr>
        <w:t>Review of the organizational structure to optimize the use of personnel;</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830756" w:rsidRDefault="00830756"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In line with the MSA, the IDP constitutes a single, inclusive strategic plan for</w:t>
      </w:r>
      <w:r w:rsidR="00532C11" w:rsidRPr="00F57E55">
        <w:rPr>
          <w:rFonts w:ascii="Arial" w:eastAsia="Times New Roman" w:hAnsi="Arial" w:cs="Arial"/>
          <w:lang w:val="en-GB"/>
        </w:rPr>
        <w:t xml:space="preserve"> the </w:t>
      </w:r>
      <w:r w:rsidR="00892BE3">
        <w:rPr>
          <w:rFonts w:ascii="Arial" w:eastAsia="Times New Roman" w:hAnsi="Arial" w:cs="Arial"/>
          <w:lang w:val="en-GB"/>
        </w:rPr>
        <w:t>municipality</w:t>
      </w:r>
      <w:r w:rsidR="00532C11" w:rsidRPr="00F57E55">
        <w:rPr>
          <w:rFonts w:ascii="Arial" w:eastAsia="Times New Roman" w:hAnsi="Arial" w:cs="Arial"/>
          <w:lang w:val="en-GB"/>
        </w:rPr>
        <w:t>.</w:t>
      </w:r>
      <w:r w:rsidRPr="00F57E55">
        <w:rPr>
          <w:rFonts w:ascii="Arial" w:eastAsia="Times New Roman" w:hAnsi="Arial" w:cs="Arial"/>
          <w:lang w:val="en-GB"/>
        </w:rPr>
        <w:t xml:space="preserve">  The five-year programme responds to the development challenges and</w:t>
      </w:r>
      <w:r w:rsidR="00892BE3">
        <w:rPr>
          <w:rFonts w:ascii="Arial" w:eastAsia="Times New Roman" w:hAnsi="Arial" w:cs="Arial"/>
          <w:lang w:val="en-GB"/>
        </w:rPr>
        <w:t xml:space="preserve"> opportunities faced by the municipality</w:t>
      </w:r>
      <w:r w:rsidRPr="00F57E55">
        <w:rPr>
          <w:rFonts w:ascii="Arial" w:eastAsia="Times New Roman" w:hAnsi="Arial" w:cs="Arial"/>
          <w:lang w:val="en-GB"/>
        </w:rPr>
        <w:t xml:space="preserve"> by identifying the key performance areas to achieve </w:t>
      </w:r>
      <w:r w:rsidR="007B7B00">
        <w:rPr>
          <w:rFonts w:ascii="Arial" w:eastAsia="Times New Roman" w:hAnsi="Arial" w:cs="Arial"/>
          <w:lang w:val="en-GB"/>
        </w:rPr>
        <w:t xml:space="preserve">the </w:t>
      </w:r>
      <w:r w:rsidRPr="00F57E55">
        <w:rPr>
          <w:rFonts w:ascii="Arial" w:eastAsia="Times New Roman" w:hAnsi="Arial" w:cs="Arial"/>
          <w:lang w:val="en-GB"/>
        </w:rPr>
        <w:t xml:space="preserve">five </w:t>
      </w:r>
      <w:r w:rsidR="00A57BC1">
        <w:rPr>
          <w:rFonts w:ascii="Arial" w:eastAsia="Times New Roman" w:hAnsi="Arial" w:cs="Arial"/>
          <w:lang w:val="en-GB"/>
        </w:rPr>
        <w:t xml:space="preserve">the </w:t>
      </w:r>
      <w:r w:rsidRPr="00F57E55">
        <w:rPr>
          <w:rFonts w:ascii="Arial" w:eastAsia="Times New Roman" w:hAnsi="Arial" w:cs="Arial"/>
          <w:lang w:val="en-GB"/>
        </w:rPr>
        <w:t>strategic objectives mentioned above.</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AC0578" w:rsidRPr="00F57E55" w:rsidRDefault="00830756" w:rsidP="00F57E55">
      <w:pPr>
        <w:autoSpaceDE w:val="0"/>
        <w:autoSpaceDN w:val="0"/>
        <w:adjustRightInd w:val="0"/>
        <w:spacing w:after="0" w:line="240" w:lineRule="auto"/>
        <w:jc w:val="both"/>
        <w:rPr>
          <w:rFonts w:ascii="Arial" w:eastAsia="Times New Roman" w:hAnsi="Arial" w:cs="Arial"/>
          <w:lang w:val="en-GB"/>
        </w:rPr>
      </w:pPr>
      <w:bookmarkStart w:id="103" w:name="_Toc71092968"/>
      <w:r w:rsidRPr="00F57E55">
        <w:rPr>
          <w:rFonts w:ascii="Arial" w:eastAsia="Times New Roman" w:hAnsi="Arial" w:cs="Arial"/>
          <w:lang w:val="en-GB"/>
        </w:rPr>
        <w:t xml:space="preserve">In addition to the five-year </w:t>
      </w:r>
      <w:r w:rsidR="007B7B00">
        <w:rPr>
          <w:rFonts w:ascii="Arial" w:eastAsia="Times New Roman" w:hAnsi="Arial" w:cs="Arial"/>
          <w:lang w:val="en-GB"/>
        </w:rPr>
        <w:t>IDP</w:t>
      </w:r>
      <w:r w:rsidR="00892BE3">
        <w:rPr>
          <w:rFonts w:ascii="Arial" w:eastAsia="Times New Roman" w:hAnsi="Arial" w:cs="Arial"/>
          <w:lang w:val="en-GB"/>
        </w:rPr>
        <w:t>, the municipality</w:t>
      </w:r>
      <w:r w:rsidRPr="00F57E55">
        <w:rPr>
          <w:rFonts w:ascii="Arial" w:eastAsia="Times New Roman" w:hAnsi="Arial" w:cs="Arial"/>
          <w:lang w:val="en-GB"/>
        </w:rPr>
        <w:t xml:space="preserve"> undertakes a</w:t>
      </w:r>
      <w:r w:rsidR="003D0072" w:rsidRPr="00F57E55">
        <w:rPr>
          <w:rFonts w:ascii="Arial" w:eastAsia="Times New Roman" w:hAnsi="Arial" w:cs="Arial"/>
          <w:lang w:val="en-GB"/>
        </w:rPr>
        <w:t>n</w:t>
      </w:r>
      <w:r w:rsidRPr="00F57E55">
        <w:rPr>
          <w:rFonts w:ascii="Arial" w:eastAsia="Times New Roman" w:hAnsi="Arial" w:cs="Arial"/>
          <w:lang w:val="en-GB"/>
        </w:rPr>
        <w:t xml:space="preserve"> extensive planning</w:t>
      </w:r>
      <w:r w:rsidR="003D0072" w:rsidRPr="00F57E55">
        <w:rPr>
          <w:rFonts w:ascii="Arial" w:eastAsia="Times New Roman" w:hAnsi="Arial" w:cs="Arial"/>
          <w:lang w:val="en-GB"/>
        </w:rPr>
        <w:t xml:space="preserve"> and developmental strategy which primarily focuses on a longer-term horizon; 15 to 20 years.  This process is aimed at </w:t>
      </w:r>
      <w:r w:rsidR="00AC0578" w:rsidRPr="00F57E55">
        <w:rPr>
          <w:rFonts w:ascii="Arial" w:eastAsia="Times New Roman" w:hAnsi="Arial" w:cs="Arial"/>
          <w:lang w:val="en-GB"/>
        </w:rPr>
        <w:t>influenc</w:t>
      </w:r>
      <w:r w:rsidR="003D0072" w:rsidRPr="00F57E55">
        <w:rPr>
          <w:rFonts w:ascii="Arial" w:eastAsia="Times New Roman" w:hAnsi="Arial" w:cs="Arial"/>
          <w:lang w:val="en-GB"/>
        </w:rPr>
        <w:t xml:space="preserve">ing </w:t>
      </w:r>
      <w:r w:rsidR="00AC0578" w:rsidRPr="00F57E55">
        <w:rPr>
          <w:rFonts w:ascii="Arial" w:eastAsia="Times New Roman" w:hAnsi="Arial" w:cs="Arial"/>
          <w:lang w:val="en-GB"/>
        </w:rPr>
        <w:t>the development path</w:t>
      </w:r>
      <w:r w:rsidR="003D0072" w:rsidRPr="00F57E55">
        <w:rPr>
          <w:rFonts w:ascii="Arial" w:eastAsia="Times New Roman" w:hAnsi="Arial" w:cs="Arial"/>
          <w:lang w:val="en-GB"/>
        </w:rPr>
        <w:t xml:space="preserve"> by </w:t>
      </w:r>
      <w:r w:rsidR="00AC0578" w:rsidRPr="00F57E55">
        <w:rPr>
          <w:rFonts w:ascii="Arial" w:eastAsia="Times New Roman" w:hAnsi="Arial" w:cs="Arial"/>
          <w:lang w:val="en-GB"/>
        </w:rPr>
        <w:t>propos</w:t>
      </w:r>
      <w:r w:rsidR="003D0072" w:rsidRPr="00F57E55">
        <w:rPr>
          <w:rFonts w:ascii="Arial" w:eastAsia="Times New Roman" w:hAnsi="Arial" w:cs="Arial"/>
          <w:lang w:val="en-GB"/>
        </w:rPr>
        <w:t>ing a s</w:t>
      </w:r>
      <w:r w:rsidR="00AC0578" w:rsidRPr="00F57E55">
        <w:rPr>
          <w:rFonts w:ascii="Arial" w:eastAsia="Times New Roman" w:hAnsi="Arial" w:cs="Arial"/>
          <w:lang w:val="en-GB"/>
        </w:rPr>
        <w:t>ubstantial programme of public-led investment to restructure current patterns of settlement, activity and</w:t>
      </w:r>
      <w:r w:rsidR="00892BE3">
        <w:rPr>
          <w:rFonts w:ascii="Arial" w:eastAsia="Times New Roman" w:hAnsi="Arial" w:cs="Arial"/>
          <w:lang w:val="en-GB"/>
        </w:rPr>
        <w:t xml:space="preserve"> access to resources in the municipality</w:t>
      </w:r>
      <w:r w:rsidR="00AC0578" w:rsidRPr="00F57E55">
        <w:rPr>
          <w:rFonts w:ascii="Arial" w:eastAsia="Times New Roman" w:hAnsi="Arial" w:cs="Arial"/>
          <w:lang w:val="en-GB"/>
        </w:rPr>
        <w:t xml:space="preserve"> </w:t>
      </w:r>
      <w:r w:rsidR="007B7B00">
        <w:rPr>
          <w:rFonts w:ascii="Arial" w:eastAsia="Times New Roman" w:hAnsi="Arial" w:cs="Arial"/>
          <w:lang w:val="en-GB"/>
        </w:rPr>
        <w:t>so as to promote</w:t>
      </w:r>
      <w:r w:rsidR="00AC0578" w:rsidRPr="00F57E55">
        <w:rPr>
          <w:rFonts w:ascii="Arial" w:eastAsia="Times New Roman" w:hAnsi="Arial" w:cs="Arial"/>
          <w:lang w:val="en-GB"/>
        </w:rPr>
        <w:t xml:space="preserve"> greater equity and enhanced opportunity.  The </w:t>
      </w:r>
      <w:r w:rsidR="003D0072" w:rsidRPr="00F57E55">
        <w:rPr>
          <w:rFonts w:ascii="Arial" w:eastAsia="Times New Roman" w:hAnsi="Arial" w:cs="Arial"/>
          <w:lang w:val="en-GB"/>
        </w:rPr>
        <w:t>strategy s</w:t>
      </w:r>
      <w:r w:rsidR="00AC0578" w:rsidRPr="00F57E55">
        <w:rPr>
          <w:rFonts w:ascii="Arial" w:eastAsia="Times New Roman" w:hAnsi="Arial" w:cs="Arial"/>
          <w:lang w:val="en-GB"/>
        </w:rPr>
        <w:t>pecifically targets future development</w:t>
      </w:r>
      <w:r w:rsidR="003D0072" w:rsidRPr="00F57E55">
        <w:rPr>
          <w:rFonts w:ascii="Arial" w:eastAsia="Times New Roman" w:hAnsi="Arial" w:cs="Arial"/>
          <w:lang w:val="en-GB"/>
        </w:rPr>
        <w:t>al</w:t>
      </w:r>
      <w:r w:rsidR="00AC0578" w:rsidRPr="00F57E55">
        <w:rPr>
          <w:rFonts w:ascii="Arial" w:eastAsia="Times New Roman" w:hAnsi="Arial" w:cs="Arial"/>
          <w:lang w:val="en-GB"/>
        </w:rPr>
        <w:t xml:space="preserve"> opportunit</w:t>
      </w:r>
      <w:r w:rsidR="003D0072" w:rsidRPr="00F57E55">
        <w:rPr>
          <w:rFonts w:ascii="Arial" w:eastAsia="Times New Roman" w:hAnsi="Arial" w:cs="Arial"/>
          <w:lang w:val="en-GB"/>
        </w:rPr>
        <w:t>ies</w:t>
      </w:r>
      <w:r w:rsidR="00AC0578" w:rsidRPr="00F57E55">
        <w:rPr>
          <w:rFonts w:ascii="Arial" w:eastAsia="Times New Roman" w:hAnsi="Arial" w:cs="Arial"/>
          <w:lang w:val="en-GB"/>
        </w:rPr>
        <w:t xml:space="preserve"> in traditional dormitory settlements</w:t>
      </w:r>
      <w:r w:rsidR="00A57BC1">
        <w:rPr>
          <w:rFonts w:ascii="Arial" w:eastAsia="Times New Roman" w:hAnsi="Arial" w:cs="Arial"/>
          <w:lang w:val="en-GB"/>
        </w:rPr>
        <w:t>.</w:t>
      </w:r>
      <w:r w:rsidR="007B7B00">
        <w:rPr>
          <w:rFonts w:ascii="Arial" w:eastAsia="Times New Roman" w:hAnsi="Arial" w:cs="Arial"/>
          <w:lang w:val="en-GB"/>
        </w:rPr>
        <w:t xml:space="preserve"> </w:t>
      </w:r>
      <w:r w:rsidR="00A57BC1">
        <w:rPr>
          <w:rFonts w:ascii="Arial" w:eastAsia="Times New Roman" w:hAnsi="Arial" w:cs="Arial"/>
          <w:lang w:val="en-GB"/>
        </w:rPr>
        <w:t xml:space="preserve"> It provides </w:t>
      </w:r>
      <w:r w:rsidR="00AC0578" w:rsidRPr="00F57E55">
        <w:rPr>
          <w:rFonts w:ascii="Arial" w:eastAsia="Times New Roman" w:hAnsi="Arial" w:cs="Arial"/>
          <w:lang w:val="en-GB"/>
        </w:rPr>
        <w:t>dir</w:t>
      </w:r>
      <w:r w:rsidR="00892BE3">
        <w:rPr>
          <w:rFonts w:ascii="Arial" w:eastAsia="Times New Roman" w:hAnsi="Arial" w:cs="Arial"/>
          <w:lang w:val="en-GB"/>
        </w:rPr>
        <w:t>ection to the municipality’s</w:t>
      </w:r>
      <w:r w:rsidR="003D0072" w:rsidRPr="00F57E55">
        <w:rPr>
          <w:rFonts w:ascii="Arial" w:eastAsia="Times New Roman" w:hAnsi="Arial" w:cs="Arial"/>
          <w:lang w:val="en-GB"/>
        </w:rPr>
        <w:t xml:space="preserve"> I</w:t>
      </w:r>
      <w:r w:rsidR="00A57BC1">
        <w:rPr>
          <w:rFonts w:ascii="Arial" w:eastAsia="Times New Roman" w:hAnsi="Arial" w:cs="Arial"/>
          <w:lang w:val="en-GB"/>
        </w:rPr>
        <w:t>DP,</w:t>
      </w:r>
      <w:r w:rsidR="00AC0578" w:rsidRPr="00F57E55">
        <w:rPr>
          <w:rFonts w:ascii="Arial" w:eastAsia="Times New Roman" w:hAnsi="Arial" w:cs="Arial"/>
          <w:lang w:val="en-GB"/>
        </w:rPr>
        <w:t xml:space="preserve"> associated sectoral plans and strategies, and the all</w:t>
      </w:r>
      <w:r w:rsidR="00892BE3">
        <w:rPr>
          <w:rFonts w:ascii="Arial" w:eastAsia="Times New Roman" w:hAnsi="Arial" w:cs="Arial"/>
          <w:lang w:val="en-GB"/>
        </w:rPr>
        <w:t>ocation of resources of the municipality</w:t>
      </w:r>
      <w:r w:rsidR="00AC0578" w:rsidRPr="00F57E55">
        <w:rPr>
          <w:rFonts w:ascii="Arial" w:eastAsia="Times New Roman" w:hAnsi="Arial" w:cs="Arial"/>
          <w:lang w:val="en-GB"/>
        </w:rPr>
        <w:t xml:space="preserve"> and other service delivery partners.</w:t>
      </w:r>
    </w:p>
    <w:p w:rsidR="00F57E55" w:rsidRDefault="00F57E55" w:rsidP="00F57E55">
      <w:pPr>
        <w:autoSpaceDE w:val="0"/>
        <w:autoSpaceDN w:val="0"/>
        <w:adjustRightInd w:val="0"/>
        <w:spacing w:after="0" w:line="240" w:lineRule="auto"/>
        <w:jc w:val="both"/>
        <w:rPr>
          <w:rFonts w:ascii="Arial" w:eastAsia="Times New Roman" w:hAnsi="Arial" w:cs="Arial"/>
          <w:lang w:val="en-GB"/>
        </w:rPr>
      </w:pPr>
    </w:p>
    <w:p w:rsidR="00AC0578" w:rsidRPr="00F57E55" w:rsidRDefault="003D0072"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This development strategy </w:t>
      </w:r>
      <w:r w:rsidR="00AC0578" w:rsidRPr="00F57E55">
        <w:rPr>
          <w:rFonts w:ascii="Arial" w:eastAsia="Times New Roman" w:hAnsi="Arial" w:cs="Arial"/>
          <w:lang w:val="en-GB"/>
        </w:rPr>
        <w:t>introduc</w:t>
      </w:r>
      <w:r w:rsidRPr="00F57E55">
        <w:rPr>
          <w:rFonts w:ascii="Arial" w:eastAsia="Times New Roman" w:hAnsi="Arial" w:cs="Arial"/>
          <w:lang w:val="en-GB"/>
        </w:rPr>
        <w:t xml:space="preserve">es </w:t>
      </w:r>
      <w:r w:rsidR="00AC0578" w:rsidRPr="00F57E55">
        <w:rPr>
          <w:rFonts w:ascii="Arial" w:eastAsia="Times New Roman" w:hAnsi="Arial" w:cs="Arial"/>
          <w:lang w:val="en-GB"/>
        </w:rPr>
        <w:t>important policy shifts which have further been translated into seven strategic focus areas/objectives as outlined below:</w:t>
      </w:r>
    </w:p>
    <w:p w:rsidR="00AC0578" w:rsidRPr="00F57E55" w:rsidRDefault="00AC0578" w:rsidP="00F57E55">
      <w:pPr>
        <w:pStyle w:val="NormalWeb"/>
        <w:spacing w:before="0" w:beforeAutospacing="0" w:after="0" w:afterAutospacing="0"/>
        <w:jc w:val="both"/>
        <w:rPr>
          <w:rFonts w:ascii="Arial" w:hAnsi="Arial" w:cs="Arial"/>
          <w:color w:val="auto"/>
          <w:sz w:val="22"/>
          <w:szCs w:val="22"/>
          <w:lang w:val="en-GB"/>
        </w:rPr>
      </w:pPr>
    </w:p>
    <w:p w:rsidR="00AC0578" w:rsidRDefault="003D0072"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Developing dormant areas;</w:t>
      </w:r>
    </w:p>
    <w:p w:rsidR="00A57BC1" w:rsidRPr="00993D4D" w:rsidRDefault="00A57BC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Enforcing hard development lines – so as to direct private investment;</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Maintaining existing urban areas</w:t>
      </w:r>
      <w:r w:rsidR="003D0072" w:rsidRPr="00993D4D">
        <w:rPr>
          <w:rFonts w:ascii="Arial" w:hAnsi="Arial" w:cs="Arial"/>
        </w:rPr>
        <w:t>;</w:t>
      </w:r>
    </w:p>
    <w:p w:rsidR="00AC0578" w:rsidRPr="00993D4D" w:rsidRDefault="008F15FF"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S</w:t>
      </w:r>
      <w:r w:rsidR="00AC0578" w:rsidRPr="00993D4D">
        <w:rPr>
          <w:rFonts w:ascii="Arial" w:hAnsi="Arial" w:cs="Arial"/>
        </w:rPr>
        <w:t>trengthening key economic clusters</w:t>
      </w:r>
      <w:r w:rsidR="003D0072" w:rsidRPr="00993D4D">
        <w:rPr>
          <w:rFonts w:ascii="Arial" w:hAnsi="Arial" w:cs="Arial"/>
        </w:rPr>
        <w:t>;</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Building social cohesion</w:t>
      </w:r>
      <w:r w:rsidR="003D0072" w:rsidRPr="00993D4D">
        <w:rPr>
          <w:rFonts w:ascii="Arial" w:hAnsi="Arial" w:cs="Arial"/>
        </w:rPr>
        <w:t>;</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Strong developmental </w:t>
      </w:r>
      <w:r w:rsidR="008F15FF" w:rsidRPr="00993D4D">
        <w:rPr>
          <w:rFonts w:ascii="Arial" w:hAnsi="Arial" w:cs="Arial"/>
        </w:rPr>
        <w:t xml:space="preserve">initiatives in relation to the </w:t>
      </w:r>
      <w:r w:rsidRPr="00993D4D">
        <w:rPr>
          <w:rFonts w:ascii="Arial" w:hAnsi="Arial" w:cs="Arial"/>
        </w:rPr>
        <w:t>municipal institution</w:t>
      </w:r>
      <w:r w:rsidR="008F15FF" w:rsidRPr="00993D4D">
        <w:rPr>
          <w:rFonts w:ascii="Arial" w:hAnsi="Arial" w:cs="Arial"/>
        </w:rPr>
        <w:t xml:space="preserve"> as a whole; and</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Sound financial fundamentals</w:t>
      </w:r>
      <w:r w:rsidR="00C37A36">
        <w:rPr>
          <w:rFonts w:ascii="Arial" w:hAnsi="Arial" w:cs="Arial"/>
        </w:rPr>
        <w:t>.</w:t>
      </w:r>
    </w:p>
    <w:p w:rsidR="00AC0578" w:rsidRPr="00F57E55" w:rsidRDefault="00AC0578" w:rsidP="00F57E55">
      <w:pPr>
        <w:pStyle w:val="BodyTextIndent"/>
        <w:ind w:left="0"/>
        <w:rPr>
          <w:sz w:val="22"/>
          <w:szCs w:val="22"/>
        </w:rPr>
      </w:pPr>
    </w:p>
    <w:p w:rsidR="00AC0578" w:rsidRDefault="00AC0578" w:rsidP="00F57E55">
      <w:pPr>
        <w:autoSpaceDE w:val="0"/>
        <w:autoSpaceDN w:val="0"/>
        <w:adjustRightInd w:val="0"/>
        <w:spacing w:after="0" w:line="240" w:lineRule="auto"/>
        <w:jc w:val="both"/>
        <w:rPr>
          <w:rFonts w:ascii="Arial" w:eastAsia="Times New Roman" w:hAnsi="Arial" w:cs="Arial"/>
          <w:lang w:val="en-GB"/>
        </w:rPr>
      </w:pPr>
      <w:r w:rsidRPr="00F57E55">
        <w:rPr>
          <w:rFonts w:ascii="Arial" w:eastAsia="Times New Roman" w:hAnsi="Arial" w:cs="Arial"/>
          <w:lang w:val="en-GB"/>
        </w:rPr>
        <w:t xml:space="preserve">Lessons learned </w:t>
      </w:r>
      <w:r w:rsidR="00532C11" w:rsidRPr="00F57E55">
        <w:rPr>
          <w:rFonts w:ascii="Arial" w:eastAsia="Times New Roman" w:hAnsi="Arial" w:cs="Arial"/>
          <w:lang w:val="en-GB"/>
        </w:rPr>
        <w:t>with previous IDP revision and planning cycles</w:t>
      </w:r>
      <w:r w:rsidR="005900D2" w:rsidRPr="00F57E55">
        <w:rPr>
          <w:rFonts w:ascii="Arial" w:eastAsia="Times New Roman" w:hAnsi="Arial" w:cs="Arial"/>
          <w:lang w:val="en-GB"/>
        </w:rPr>
        <w:t xml:space="preserve"> as well as changing </w:t>
      </w:r>
      <w:r w:rsidRPr="00F57E55">
        <w:rPr>
          <w:rFonts w:ascii="Arial" w:eastAsia="Times New Roman" w:hAnsi="Arial" w:cs="Arial"/>
          <w:lang w:val="en-GB"/>
        </w:rPr>
        <w:t xml:space="preserve">environments were taken into consideration in the compilation of the </w:t>
      </w:r>
      <w:r w:rsidR="00993D4D">
        <w:rPr>
          <w:rFonts w:ascii="Arial" w:eastAsia="Times New Roman" w:hAnsi="Arial" w:cs="Arial"/>
          <w:lang w:val="en-GB"/>
        </w:rPr>
        <w:t>f</w:t>
      </w:r>
      <w:r w:rsidRPr="00F57E55">
        <w:rPr>
          <w:rFonts w:ascii="Arial" w:eastAsia="Times New Roman" w:hAnsi="Arial" w:cs="Arial"/>
          <w:lang w:val="en-GB"/>
        </w:rPr>
        <w:t xml:space="preserve">ourth </w:t>
      </w:r>
      <w:r w:rsidR="00993D4D">
        <w:rPr>
          <w:rFonts w:ascii="Arial" w:eastAsia="Times New Roman" w:hAnsi="Arial" w:cs="Arial"/>
          <w:lang w:val="en-GB"/>
        </w:rPr>
        <w:t>r</w:t>
      </w:r>
      <w:r w:rsidRPr="00F57E55">
        <w:rPr>
          <w:rFonts w:ascii="Arial" w:eastAsia="Times New Roman" w:hAnsi="Arial" w:cs="Arial"/>
          <w:lang w:val="en-GB"/>
        </w:rPr>
        <w:t>evised IDP, including:</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5900D2"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 xml:space="preserve">Strengthening the analysis and strategic planning processes of the </w:t>
      </w:r>
      <w:r w:rsidR="00892BE3">
        <w:rPr>
          <w:rFonts w:ascii="Arial" w:hAnsi="Arial" w:cs="Arial"/>
        </w:rPr>
        <w:t>municipality</w:t>
      </w:r>
      <w:r w:rsidRPr="00993D4D">
        <w:rPr>
          <w:rFonts w:ascii="Arial" w:hAnsi="Arial" w:cs="Arial"/>
        </w:rPr>
        <w:t>;</w:t>
      </w:r>
    </w:p>
    <w:p w:rsidR="005900D2"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Initiating zonal planning processes that involve the communities in the analysis and planning processes.</w:t>
      </w:r>
      <w:r w:rsidR="00C37A36">
        <w:rPr>
          <w:rFonts w:ascii="Arial" w:hAnsi="Arial" w:cs="Arial"/>
        </w:rPr>
        <w:t xml:space="preserve"> </w:t>
      </w:r>
      <w:r w:rsidRPr="00993D4D">
        <w:rPr>
          <w:rFonts w:ascii="Arial" w:hAnsi="Arial" w:cs="Arial"/>
        </w:rPr>
        <w:t xml:space="preserve"> More emphasis was placed on area based interventions</w:t>
      </w:r>
      <w:r w:rsidR="00A57BC1">
        <w:rPr>
          <w:rFonts w:ascii="Arial" w:hAnsi="Arial" w:cs="Arial"/>
        </w:rPr>
        <w:t>, within the overall holistic framework</w:t>
      </w:r>
      <w:r w:rsidRPr="00993D4D">
        <w:rPr>
          <w:rFonts w:ascii="Arial" w:hAnsi="Arial" w:cs="Arial"/>
        </w:rPr>
        <w:t>;</w:t>
      </w:r>
    </w:p>
    <w:p w:rsidR="005900D2"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Ensuring better coordination through a programmatic approach and attempting to focus the budgeting process through planning interventions; and</w:t>
      </w:r>
    </w:p>
    <w:p w:rsidR="00AC0578" w:rsidRPr="00993D4D" w:rsidRDefault="00AC0578" w:rsidP="00E50C0E">
      <w:pPr>
        <w:numPr>
          <w:ilvl w:val="0"/>
          <w:numId w:val="5"/>
        </w:numPr>
        <w:tabs>
          <w:tab w:val="clear" w:pos="720"/>
          <w:tab w:val="num" w:pos="1418"/>
        </w:tabs>
        <w:spacing w:after="0" w:line="240" w:lineRule="auto"/>
        <w:ind w:left="709" w:hanging="709"/>
        <w:jc w:val="both"/>
        <w:rPr>
          <w:rFonts w:ascii="Arial" w:hAnsi="Arial" w:cs="Arial"/>
        </w:rPr>
      </w:pPr>
      <w:r w:rsidRPr="00993D4D">
        <w:rPr>
          <w:rFonts w:ascii="Arial" w:hAnsi="Arial" w:cs="Arial"/>
        </w:rPr>
        <w:t>Strengthening performance management and monitoring systems</w:t>
      </w:r>
      <w:r w:rsidR="005900D2" w:rsidRPr="00993D4D">
        <w:rPr>
          <w:rFonts w:ascii="Arial" w:hAnsi="Arial" w:cs="Arial"/>
        </w:rPr>
        <w:t xml:space="preserve"> in ensuring the objectives and deliverables are achieved</w:t>
      </w:r>
      <w:r w:rsidRPr="00993D4D">
        <w:rPr>
          <w:rFonts w:ascii="Arial" w:hAnsi="Arial" w:cs="Arial"/>
        </w:rPr>
        <w:t>.</w:t>
      </w:r>
    </w:p>
    <w:p w:rsidR="00F57E55" w:rsidRPr="00F57E55" w:rsidRDefault="00F57E55" w:rsidP="00F57E55">
      <w:pPr>
        <w:autoSpaceDE w:val="0"/>
        <w:autoSpaceDN w:val="0"/>
        <w:adjustRightInd w:val="0"/>
        <w:spacing w:after="0" w:line="240" w:lineRule="auto"/>
        <w:jc w:val="both"/>
        <w:rPr>
          <w:rFonts w:ascii="Arial" w:eastAsia="Times New Roman" w:hAnsi="Arial" w:cs="Arial"/>
          <w:lang w:val="en-GB"/>
        </w:rPr>
      </w:pPr>
    </w:p>
    <w:p w:rsidR="00172EDC" w:rsidRDefault="00892BE3" w:rsidP="00F57E55">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 xml:space="preserve">The </w:t>
      </w:r>
      <w:r w:rsidR="001143B3">
        <w:rPr>
          <w:rFonts w:ascii="Arial" w:eastAsia="Times New Roman" w:hAnsi="Arial" w:cs="Arial"/>
          <w:lang w:val="en-GB"/>
        </w:rPr>
        <w:t>2018/19</w:t>
      </w:r>
      <w:r w:rsidR="006D34F8">
        <w:rPr>
          <w:rFonts w:ascii="Arial" w:eastAsia="Times New Roman" w:hAnsi="Arial" w:cs="Arial"/>
          <w:lang w:val="en-GB"/>
        </w:rPr>
        <w:t xml:space="preserve"> MTREF</w:t>
      </w:r>
      <w:r w:rsidR="00172EDC" w:rsidRPr="00F57E55">
        <w:rPr>
          <w:rFonts w:ascii="Arial" w:eastAsia="Times New Roman" w:hAnsi="Arial" w:cs="Arial"/>
          <w:lang w:val="en-GB"/>
        </w:rPr>
        <w:t xml:space="preserve"> has therefore been directly informed by the IDP revision process and the following tables provide </w:t>
      </w:r>
      <w:r w:rsidR="00894E09">
        <w:rPr>
          <w:rFonts w:ascii="Arial" w:eastAsia="Times New Roman" w:hAnsi="Arial" w:cs="Arial"/>
          <w:lang w:val="en-GB"/>
        </w:rPr>
        <w:t>a</w:t>
      </w:r>
      <w:r w:rsidR="006D34F8">
        <w:rPr>
          <w:rFonts w:ascii="Arial" w:eastAsia="Times New Roman" w:hAnsi="Arial" w:cs="Arial"/>
          <w:lang w:val="en-GB"/>
        </w:rPr>
        <w:t xml:space="preserve"> </w:t>
      </w:r>
      <w:r w:rsidR="00172EDC" w:rsidRPr="00F57E55">
        <w:rPr>
          <w:rFonts w:ascii="Arial" w:eastAsia="Times New Roman" w:hAnsi="Arial" w:cs="Arial"/>
          <w:lang w:val="en-GB"/>
        </w:rPr>
        <w:t>reconciliation between the IDP strategic objectives and operating revenue, operating expe</w:t>
      </w:r>
      <w:r w:rsidR="00894E09">
        <w:rPr>
          <w:rFonts w:ascii="Arial" w:eastAsia="Times New Roman" w:hAnsi="Arial" w:cs="Arial"/>
          <w:lang w:val="en-GB"/>
        </w:rPr>
        <w:t>nditure and capital expenditure.</w:t>
      </w:r>
    </w:p>
    <w:p w:rsidR="00F57E55" w:rsidRPr="00F57E55" w:rsidRDefault="00F57E55" w:rsidP="00654A78">
      <w:pPr>
        <w:autoSpaceDE w:val="0"/>
        <w:autoSpaceDN w:val="0"/>
        <w:adjustRightInd w:val="0"/>
        <w:spacing w:after="0" w:line="240" w:lineRule="auto"/>
        <w:jc w:val="both"/>
        <w:rPr>
          <w:rFonts w:ascii="Arial" w:eastAsia="Times New Roman" w:hAnsi="Arial" w:cs="Arial"/>
          <w:lang w:val="en-GB"/>
        </w:rPr>
      </w:pPr>
    </w:p>
    <w:p w:rsidR="00E138F4" w:rsidRPr="00E138F4" w:rsidRDefault="00E138F4" w:rsidP="00E138F4">
      <w:pPr>
        <w:pStyle w:val="Caption"/>
        <w:keepNext/>
      </w:pPr>
    </w:p>
    <w:p w:rsidR="004C7CAE" w:rsidRDefault="004C7CAE" w:rsidP="00807EC0">
      <w:pPr>
        <w:autoSpaceDE w:val="0"/>
        <w:autoSpaceDN w:val="0"/>
        <w:adjustRightInd w:val="0"/>
        <w:spacing w:after="0" w:line="240" w:lineRule="auto"/>
        <w:jc w:val="both"/>
        <w:rPr>
          <w:rFonts w:ascii="Arial" w:eastAsia="Times New Roman" w:hAnsi="Arial" w:cs="Arial"/>
          <w:b/>
          <w:sz w:val="20"/>
          <w:szCs w:val="20"/>
          <w:lang w:val="en-GB"/>
        </w:rPr>
      </w:pPr>
    </w:p>
    <w:bookmarkEnd w:id="103"/>
    <w:p w:rsidR="00E138F4" w:rsidRDefault="00E138F4" w:rsidP="00807EC0">
      <w:pPr>
        <w:autoSpaceDE w:val="0"/>
        <w:autoSpaceDN w:val="0"/>
        <w:adjustRightInd w:val="0"/>
        <w:spacing w:after="0" w:line="240" w:lineRule="auto"/>
        <w:jc w:val="both"/>
        <w:rPr>
          <w:rFonts w:ascii="Arial" w:eastAsia="Times New Roman" w:hAnsi="Arial" w:cs="Arial"/>
          <w:b/>
          <w:lang w:val="en-GB"/>
        </w:rPr>
      </w:pPr>
    </w:p>
    <w:p w:rsidR="00CB594D" w:rsidRPr="00C8149B" w:rsidRDefault="00CB594D" w:rsidP="00654A78">
      <w:pPr>
        <w:pStyle w:val="Heading2"/>
        <w:spacing w:before="0" w:line="240" w:lineRule="auto"/>
        <w:rPr>
          <w:rFonts w:ascii="Arial" w:hAnsi="Arial" w:cs="Arial"/>
          <w:color w:val="auto"/>
        </w:rPr>
      </w:pPr>
      <w:bookmarkStart w:id="104" w:name="_Toc286034108"/>
      <w:bookmarkStart w:id="105" w:name="_Toc286034699"/>
      <w:bookmarkStart w:id="106" w:name="_Toc286041441"/>
      <w:bookmarkStart w:id="107" w:name="_Toc286041510"/>
      <w:bookmarkStart w:id="108" w:name="_Toc286117321"/>
      <w:bookmarkStart w:id="109" w:name="_Toc287342532"/>
      <w:r w:rsidRPr="00C8149B">
        <w:rPr>
          <w:rFonts w:ascii="Arial" w:hAnsi="Arial" w:cs="Arial"/>
          <w:color w:val="auto"/>
        </w:rPr>
        <w:t>Measurable performance objectives and indicators</w:t>
      </w:r>
      <w:bookmarkEnd w:id="104"/>
      <w:bookmarkEnd w:id="105"/>
      <w:bookmarkEnd w:id="106"/>
      <w:bookmarkEnd w:id="107"/>
      <w:bookmarkEnd w:id="108"/>
      <w:bookmarkEnd w:id="109"/>
    </w:p>
    <w:p w:rsidR="00A0652F" w:rsidRPr="00C8149B" w:rsidRDefault="00A0652F" w:rsidP="00654A78">
      <w:pPr>
        <w:autoSpaceDE w:val="0"/>
        <w:autoSpaceDN w:val="0"/>
        <w:adjustRightInd w:val="0"/>
        <w:spacing w:after="0" w:line="240" w:lineRule="auto"/>
        <w:jc w:val="both"/>
        <w:rPr>
          <w:rFonts w:ascii="Arial" w:eastAsia="Times New Roman" w:hAnsi="Arial" w:cs="Arial"/>
          <w:lang w:val="en-GB"/>
        </w:rPr>
      </w:pPr>
    </w:p>
    <w:p w:rsidR="008A4F54" w:rsidRPr="00C8149B" w:rsidRDefault="008A4F54" w:rsidP="00654A78">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Performance Management is a system intended to manage and monitor service delivery progress against the identified strategic objectives and priorities.</w:t>
      </w:r>
      <w:r w:rsidR="003073A3" w:rsidRPr="00C8149B">
        <w:rPr>
          <w:rFonts w:ascii="Arial" w:eastAsia="Times New Roman" w:hAnsi="Arial" w:cs="Arial"/>
          <w:lang w:val="en-GB"/>
        </w:rPr>
        <w:t xml:space="preserve">  </w:t>
      </w:r>
      <w:r w:rsidRPr="00C8149B">
        <w:rPr>
          <w:rFonts w:ascii="Arial" w:eastAsia="Times New Roman" w:hAnsi="Arial" w:cs="Arial"/>
          <w:lang w:val="en-GB"/>
        </w:rPr>
        <w:t xml:space="preserve">In accordance </w:t>
      </w:r>
      <w:r w:rsidR="004C7CAE" w:rsidRPr="00C8149B">
        <w:rPr>
          <w:rFonts w:ascii="Arial" w:eastAsia="Times New Roman" w:hAnsi="Arial" w:cs="Arial"/>
          <w:lang w:val="en-GB"/>
        </w:rPr>
        <w:t xml:space="preserve">with </w:t>
      </w:r>
      <w:r w:rsidRPr="00C8149B">
        <w:rPr>
          <w:rFonts w:ascii="Arial" w:eastAsia="Times New Roman" w:hAnsi="Arial" w:cs="Arial"/>
          <w:lang w:val="en-GB"/>
        </w:rPr>
        <w:t>legislative requirements and good business practices</w:t>
      </w:r>
      <w:r w:rsidR="00852CCB" w:rsidRPr="00C8149B">
        <w:rPr>
          <w:rFonts w:ascii="Arial" w:eastAsia="Times New Roman" w:hAnsi="Arial" w:cs="Arial"/>
          <w:lang w:val="en-GB"/>
        </w:rPr>
        <w:t xml:space="preserve"> as informed by the National Framework for Managing Programme Performance Information</w:t>
      </w:r>
      <w:r w:rsidR="00892BE3">
        <w:rPr>
          <w:rFonts w:ascii="Arial" w:eastAsia="Times New Roman" w:hAnsi="Arial" w:cs="Arial"/>
          <w:lang w:val="en-GB"/>
        </w:rPr>
        <w:t>, the municipality</w:t>
      </w:r>
      <w:r w:rsidR="003073A3" w:rsidRPr="00C8149B">
        <w:rPr>
          <w:rFonts w:ascii="Arial" w:eastAsia="Times New Roman" w:hAnsi="Arial" w:cs="Arial"/>
          <w:lang w:val="en-GB"/>
        </w:rPr>
        <w:t xml:space="preserve"> has developed and implemented </w:t>
      </w:r>
      <w:r w:rsidRPr="00C8149B">
        <w:rPr>
          <w:rFonts w:ascii="Arial" w:eastAsia="Times New Roman" w:hAnsi="Arial" w:cs="Arial"/>
          <w:lang w:val="en-GB"/>
        </w:rPr>
        <w:t>a performance management system</w:t>
      </w:r>
      <w:r w:rsidR="003073A3" w:rsidRPr="00C8149B">
        <w:rPr>
          <w:rFonts w:ascii="Arial" w:eastAsia="Times New Roman" w:hAnsi="Arial" w:cs="Arial"/>
          <w:lang w:val="en-GB"/>
        </w:rPr>
        <w:t xml:space="preserve"> of which system is constantly refined as the integrated planning process unfolds</w:t>
      </w:r>
      <w:r w:rsidRPr="00C8149B">
        <w:rPr>
          <w:rFonts w:ascii="Arial" w:eastAsia="Times New Roman" w:hAnsi="Arial" w:cs="Arial"/>
          <w:lang w:val="en-GB"/>
        </w:rPr>
        <w:t>.</w:t>
      </w:r>
      <w:r w:rsidR="003073A3" w:rsidRPr="00C8149B">
        <w:rPr>
          <w:rFonts w:ascii="Arial" w:eastAsia="Times New Roman" w:hAnsi="Arial" w:cs="Arial"/>
          <w:lang w:val="en-GB"/>
        </w:rPr>
        <w:t xml:space="preserve"> </w:t>
      </w:r>
      <w:r w:rsidR="00C37A36">
        <w:rPr>
          <w:rFonts w:ascii="Arial" w:eastAsia="Times New Roman" w:hAnsi="Arial" w:cs="Arial"/>
          <w:lang w:val="en-GB"/>
        </w:rPr>
        <w:t xml:space="preserve"> </w:t>
      </w:r>
      <w:r w:rsidR="003073A3" w:rsidRPr="00C8149B">
        <w:rPr>
          <w:rFonts w:ascii="Arial" w:eastAsia="Times New Roman" w:hAnsi="Arial" w:cs="Arial"/>
          <w:lang w:val="en-GB"/>
        </w:rPr>
        <w:t>The Municipality</w:t>
      </w:r>
      <w:r w:rsidRPr="00C8149B">
        <w:rPr>
          <w:rFonts w:ascii="Arial" w:eastAsia="Times New Roman" w:hAnsi="Arial" w:cs="Arial"/>
          <w:lang w:val="en-GB"/>
        </w:rPr>
        <w:t xml:space="preserve"> targets, monitors, assesses and reviews organisational</w:t>
      </w:r>
      <w:r w:rsidR="003073A3" w:rsidRPr="00C8149B">
        <w:rPr>
          <w:rFonts w:ascii="Arial" w:eastAsia="Times New Roman" w:hAnsi="Arial" w:cs="Arial"/>
          <w:lang w:val="en-GB"/>
        </w:rPr>
        <w:t xml:space="preserve"> performance which in turn is directly linked to </w:t>
      </w:r>
      <w:r w:rsidRPr="00C8149B">
        <w:rPr>
          <w:rFonts w:ascii="Arial" w:eastAsia="Times New Roman" w:hAnsi="Arial" w:cs="Arial"/>
          <w:lang w:val="en-GB"/>
        </w:rPr>
        <w:t>individual employee’s performance</w:t>
      </w:r>
      <w:r w:rsidR="003073A3" w:rsidRPr="00C8149B">
        <w:rPr>
          <w:rFonts w:ascii="Arial" w:eastAsia="Times New Roman" w:hAnsi="Arial" w:cs="Arial"/>
          <w:lang w:val="en-GB"/>
        </w:rPr>
        <w:t>.</w:t>
      </w:r>
    </w:p>
    <w:p w:rsidR="00654A78" w:rsidRPr="00C8149B" w:rsidRDefault="00654A78" w:rsidP="00654A78">
      <w:pPr>
        <w:autoSpaceDE w:val="0"/>
        <w:autoSpaceDN w:val="0"/>
        <w:adjustRightInd w:val="0"/>
        <w:spacing w:after="0" w:line="240" w:lineRule="auto"/>
        <w:jc w:val="both"/>
        <w:rPr>
          <w:rFonts w:ascii="Arial" w:eastAsia="Times New Roman" w:hAnsi="Arial" w:cs="Arial"/>
          <w:lang w:val="en-GB"/>
        </w:rPr>
      </w:pPr>
    </w:p>
    <w:p w:rsidR="00852CCB" w:rsidRPr="00C8149B" w:rsidRDefault="00FC21F3" w:rsidP="00654A78">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At any given time within government, information from mul</w:t>
      </w:r>
      <w:r w:rsidR="006D34F8" w:rsidRPr="00C8149B">
        <w:rPr>
          <w:rFonts w:ascii="Arial" w:eastAsia="Times New Roman" w:hAnsi="Arial" w:cs="Arial"/>
          <w:lang w:val="en-GB"/>
        </w:rPr>
        <w:t>tiple years is being considered;</w:t>
      </w:r>
      <w:r w:rsidRPr="00C8149B">
        <w:rPr>
          <w:rFonts w:ascii="Arial" w:eastAsia="Times New Roman" w:hAnsi="Arial" w:cs="Arial"/>
          <w:lang w:val="en-GB"/>
        </w:rPr>
        <w:t xml:space="preserve"> plans and budgets for next year; implementation for the current year; and reporting on last year's performance. </w:t>
      </w:r>
      <w:r w:rsidR="00C37A36">
        <w:rPr>
          <w:rFonts w:ascii="Arial" w:eastAsia="Times New Roman" w:hAnsi="Arial" w:cs="Arial"/>
          <w:lang w:val="en-GB"/>
        </w:rPr>
        <w:t xml:space="preserve"> </w:t>
      </w:r>
      <w:r w:rsidRPr="00C8149B">
        <w:rPr>
          <w:rFonts w:ascii="Arial" w:eastAsia="Times New Roman" w:hAnsi="Arial" w:cs="Arial"/>
          <w:lang w:val="en-GB"/>
        </w:rPr>
        <w:t xml:space="preserve">Although performance information is reported publicly during the last stage, the performance information process begins when policies are being developed, and continues through each of the planning, budgeting, implementation and reporting stages.  </w:t>
      </w:r>
      <w:r w:rsidR="00852CCB" w:rsidRPr="00C8149B">
        <w:rPr>
          <w:rFonts w:ascii="Arial" w:eastAsia="Times New Roman" w:hAnsi="Arial" w:cs="Arial"/>
          <w:lang w:val="en-GB"/>
        </w:rPr>
        <w:t xml:space="preserve">The planning, budgeting and reporting cycle </w:t>
      </w:r>
      <w:r w:rsidRPr="00C8149B">
        <w:rPr>
          <w:rFonts w:ascii="Arial" w:eastAsia="Times New Roman" w:hAnsi="Arial" w:cs="Arial"/>
          <w:lang w:val="en-GB"/>
        </w:rPr>
        <w:t xml:space="preserve">can be </w:t>
      </w:r>
      <w:r w:rsidR="00852CCB" w:rsidRPr="00C8149B">
        <w:rPr>
          <w:rFonts w:ascii="Arial" w:eastAsia="Times New Roman" w:hAnsi="Arial" w:cs="Arial"/>
          <w:lang w:val="en-GB"/>
        </w:rPr>
        <w:t xml:space="preserve">graphically illustrated </w:t>
      </w:r>
      <w:r w:rsidR="004C7CAE" w:rsidRPr="00C8149B">
        <w:rPr>
          <w:rFonts w:ascii="Arial" w:eastAsia="Times New Roman" w:hAnsi="Arial" w:cs="Arial"/>
          <w:lang w:val="en-GB"/>
        </w:rPr>
        <w:t>as follows</w:t>
      </w:r>
      <w:r w:rsidR="00852CCB" w:rsidRPr="00C8149B">
        <w:rPr>
          <w:rFonts w:ascii="Arial" w:eastAsia="Times New Roman" w:hAnsi="Arial" w:cs="Arial"/>
          <w:lang w:val="en-GB"/>
        </w:rPr>
        <w:t>:</w:t>
      </w:r>
    </w:p>
    <w:p w:rsidR="004C7CAE" w:rsidRPr="00C8149B" w:rsidRDefault="004C7CAE" w:rsidP="00FC21F3">
      <w:pPr>
        <w:autoSpaceDE w:val="0"/>
        <w:autoSpaceDN w:val="0"/>
        <w:adjustRightInd w:val="0"/>
        <w:spacing w:after="0" w:line="240" w:lineRule="auto"/>
        <w:jc w:val="both"/>
        <w:rPr>
          <w:rFonts w:ascii="Arial" w:eastAsia="Times New Roman" w:hAnsi="Arial" w:cs="Arial"/>
          <w:sz w:val="20"/>
          <w:szCs w:val="20"/>
          <w:lang w:val="en-GB"/>
        </w:rPr>
      </w:pPr>
    </w:p>
    <w:p w:rsidR="00852CCB" w:rsidRPr="00C8149B" w:rsidRDefault="00852CCB" w:rsidP="004F3DE3">
      <w:pPr>
        <w:autoSpaceDE w:val="0"/>
        <w:autoSpaceDN w:val="0"/>
        <w:adjustRightInd w:val="0"/>
        <w:spacing w:after="0" w:line="240" w:lineRule="auto"/>
        <w:jc w:val="both"/>
        <w:rPr>
          <w:rFonts w:ascii="Arial" w:eastAsia="Times New Roman" w:hAnsi="Arial" w:cs="Arial"/>
          <w:sz w:val="20"/>
          <w:szCs w:val="20"/>
          <w:lang w:val="en-GB"/>
        </w:rPr>
      </w:pPr>
      <w:r w:rsidRPr="00C8149B">
        <w:rPr>
          <w:rFonts w:ascii="Arial" w:eastAsia="Times New Roman" w:hAnsi="Arial" w:cs="Arial"/>
          <w:noProof/>
          <w:sz w:val="20"/>
          <w:szCs w:val="20"/>
          <w:lang w:val="en-ZA" w:eastAsia="en-ZA"/>
        </w:rPr>
        <w:drawing>
          <wp:inline distT="0" distB="0" distL="0" distR="0" wp14:anchorId="665A882D" wp14:editId="3A270FC6">
            <wp:extent cx="5949950" cy="4157133"/>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83972" name="Picture 4"/>
                    <pic:cNvPicPr>
                      <a:picLocks noChangeAspect="1" noChangeArrowheads="1"/>
                    </pic:cNvPicPr>
                  </pic:nvPicPr>
                  <pic:blipFill>
                    <a:blip r:embed="rId35" cstate="print"/>
                    <a:srcRect/>
                    <a:stretch>
                      <a:fillRect/>
                    </a:stretch>
                  </pic:blipFill>
                  <pic:spPr bwMode="auto">
                    <a:xfrm>
                      <a:off x="0" y="0"/>
                      <a:ext cx="5945815" cy="4154244"/>
                    </a:xfrm>
                    <a:prstGeom prst="rect">
                      <a:avLst/>
                    </a:prstGeom>
                    <a:noFill/>
                    <a:ln w="9525">
                      <a:noFill/>
                      <a:miter lim="800000"/>
                      <a:headEnd/>
                      <a:tailEnd/>
                    </a:ln>
                    <a:effectLst/>
                  </pic:spPr>
                </pic:pic>
              </a:graphicData>
            </a:graphic>
          </wp:inline>
        </w:drawing>
      </w:r>
    </w:p>
    <w:p w:rsidR="004F3DE3" w:rsidRPr="00E138F4" w:rsidRDefault="00E138F4" w:rsidP="00E138F4">
      <w:pPr>
        <w:pStyle w:val="Caption"/>
        <w:spacing w:before="120" w:after="0"/>
      </w:pPr>
      <w:bookmarkStart w:id="110" w:name="_Toc287342514"/>
      <w:r>
        <w:t xml:space="preserve">Figure </w:t>
      </w:r>
      <w:r w:rsidR="00951EB5">
        <w:fldChar w:fldCharType="begin"/>
      </w:r>
      <w:r w:rsidR="009F6B4A">
        <w:instrText xml:space="preserve"> SEQ Figure \* ARABIC </w:instrText>
      </w:r>
      <w:r w:rsidR="00951EB5">
        <w:fldChar w:fldCharType="separate"/>
      </w:r>
      <w:r w:rsidR="00FB5E13">
        <w:rPr>
          <w:noProof/>
        </w:rPr>
        <w:t>3</w:t>
      </w:r>
      <w:r w:rsidR="00951EB5">
        <w:rPr>
          <w:noProof/>
        </w:rPr>
        <w:fldChar w:fldCharType="end"/>
      </w:r>
      <w:r>
        <w:t xml:space="preserve">  </w:t>
      </w:r>
      <w:r w:rsidR="004F3DE3" w:rsidRPr="00E138F4">
        <w:t>Planning, budgeting and reporting cycle</w:t>
      </w:r>
      <w:bookmarkEnd w:id="110"/>
    </w:p>
    <w:p w:rsidR="004F3DE3" w:rsidRPr="00C8149B" w:rsidRDefault="004F3DE3" w:rsidP="004F3DE3">
      <w:pPr>
        <w:spacing w:after="0" w:line="240" w:lineRule="auto"/>
        <w:jc w:val="both"/>
        <w:rPr>
          <w:rFonts w:ascii="Arial" w:eastAsia="Times New Roman" w:hAnsi="Arial" w:cs="Arial"/>
          <w:lang w:val="en-GB"/>
        </w:rPr>
      </w:pPr>
    </w:p>
    <w:p w:rsidR="008A4F54" w:rsidRPr="00C8149B" w:rsidRDefault="008A4F54" w:rsidP="004F3DE3">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The performance of the</w:t>
      </w:r>
      <w:r w:rsidR="00892BE3">
        <w:rPr>
          <w:rFonts w:ascii="Arial" w:eastAsia="Times New Roman" w:hAnsi="Arial" w:cs="Arial"/>
          <w:lang w:val="en-GB"/>
        </w:rPr>
        <w:t xml:space="preserve"> municipality</w:t>
      </w:r>
      <w:r w:rsidR="003073A3" w:rsidRPr="00C8149B">
        <w:rPr>
          <w:rFonts w:ascii="Arial" w:eastAsia="Times New Roman" w:hAnsi="Arial" w:cs="Arial"/>
          <w:lang w:val="en-GB"/>
        </w:rPr>
        <w:t xml:space="preserve"> relates directly to the </w:t>
      </w:r>
      <w:r w:rsidRPr="00C8149B">
        <w:rPr>
          <w:rFonts w:ascii="Arial" w:eastAsia="Times New Roman" w:hAnsi="Arial" w:cs="Arial"/>
          <w:lang w:val="en-GB"/>
        </w:rPr>
        <w:t xml:space="preserve">extent to which </w:t>
      </w:r>
      <w:r w:rsidR="003073A3" w:rsidRPr="00C8149B">
        <w:rPr>
          <w:rFonts w:ascii="Arial" w:eastAsia="Times New Roman" w:hAnsi="Arial" w:cs="Arial"/>
          <w:lang w:val="en-GB"/>
        </w:rPr>
        <w:t xml:space="preserve">it has </w:t>
      </w:r>
      <w:r w:rsidRPr="00C8149B">
        <w:rPr>
          <w:rFonts w:ascii="Arial" w:eastAsia="Times New Roman" w:hAnsi="Arial" w:cs="Arial"/>
          <w:lang w:val="en-GB"/>
        </w:rPr>
        <w:t>achieved success in realising its goals and objectives, complied with legislative requirements and me</w:t>
      </w:r>
      <w:r w:rsidR="003073A3" w:rsidRPr="00C8149B">
        <w:rPr>
          <w:rFonts w:ascii="Arial" w:eastAsia="Times New Roman" w:hAnsi="Arial" w:cs="Arial"/>
          <w:lang w:val="en-GB"/>
        </w:rPr>
        <w:t xml:space="preserve">eting </w:t>
      </w:r>
      <w:r w:rsidRPr="00C8149B">
        <w:rPr>
          <w:rFonts w:ascii="Arial" w:eastAsia="Times New Roman" w:hAnsi="Arial" w:cs="Arial"/>
          <w:lang w:val="en-GB"/>
        </w:rPr>
        <w:t>stakeholder expectations.  The</w:t>
      </w:r>
      <w:r w:rsidR="00892BE3">
        <w:rPr>
          <w:rFonts w:ascii="Arial" w:eastAsia="Times New Roman" w:hAnsi="Arial" w:cs="Arial"/>
          <w:lang w:val="en-GB"/>
        </w:rPr>
        <w:t xml:space="preserve"> municipality</w:t>
      </w:r>
      <w:r w:rsidR="003073A3" w:rsidRPr="00C8149B">
        <w:rPr>
          <w:rFonts w:ascii="Arial" w:eastAsia="Times New Roman" w:hAnsi="Arial" w:cs="Arial"/>
          <w:lang w:val="en-GB"/>
        </w:rPr>
        <w:t xml:space="preserve"> therefore has adopted one integrated performance management system </w:t>
      </w:r>
      <w:r w:rsidR="00E138F4">
        <w:rPr>
          <w:rFonts w:ascii="Arial" w:eastAsia="Times New Roman" w:hAnsi="Arial" w:cs="Arial"/>
          <w:lang w:val="en-GB"/>
        </w:rPr>
        <w:t>which encompasses</w:t>
      </w:r>
      <w:r w:rsidR="003073A3" w:rsidRPr="00C8149B">
        <w:rPr>
          <w:rFonts w:ascii="Arial" w:eastAsia="Times New Roman" w:hAnsi="Arial" w:cs="Arial"/>
          <w:lang w:val="en-GB"/>
        </w:rPr>
        <w:t>:</w:t>
      </w:r>
    </w:p>
    <w:p w:rsidR="00654A78" w:rsidRPr="00C8149B" w:rsidRDefault="00654A78" w:rsidP="004F3DE3">
      <w:pPr>
        <w:autoSpaceDE w:val="0"/>
        <w:autoSpaceDN w:val="0"/>
        <w:adjustRightInd w:val="0"/>
        <w:spacing w:after="0" w:line="240" w:lineRule="auto"/>
        <w:jc w:val="both"/>
        <w:rPr>
          <w:rFonts w:ascii="Arial" w:eastAsia="Times New Roman" w:hAnsi="Arial" w:cs="Arial"/>
          <w:lang w:val="en-GB"/>
        </w:rPr>
      </w:pP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Planning (setting goals, objectives, targets</w:t>
      </w:r>
      <w:r w:rsidR="003073A3" w:rsidRPr="00C8149B">
        <w:rPr>
          <w:rFonts w:ascii="Arial" w:hAnsi="Arial" w:cs="Arial"/>
        </w:rPr>
        <w:t xml:space="preserve"> and </w:t>
      </w:r>
      <w:r w:rsidRPr="00C8149B">
        <w:rPr>
          <w:rFonts w:ascii="Arial" w:hAnsi="Arial" w:cs="Arial"/>
        </w:rPr>
        <w:t>benchmarks);</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 xml:space="preserve">Monitoring (regular </w:t>
      </w:r>
      <w:r w:rsidR="003073A3" w:rsidRPr="00C8149B">
        <w:rPr>
          <w:rFonts w:ascii="Arial" w:hAnsi="Arial" w:cs="Arial"/>
        </w:rPr>
        <w:t xml:space="preserve">monitoring and </w:t>
      </w:r>
      <w:r w:rsidRPr="00C8149B">
        <w:rPr>
          <w:rFonts w:ascii="Arial" w:hAnsi="Arial" w:cs="Arial"/>
        </w:rPr>
        <w:t>checking o</w:t>
      </w:r>
      <w:r w:rsidR="003073A3" w:rsidRPr="00C8149B">
        <w:rPr>
          <w:rFonts w:ascii="Arial" w:hAnsi="Arial" w:cs="Arial"/>
        </w:rPr>
        <w:t xml:space="preserve">n the </w:t>
      </w:r>
      <w:r w:rsidRPr="00C8149B">
        <w:rPr>
          <w:rFonts w:ascii="Arial" w:hAnsi="Arial" w:cs="Arial"/>
        </w:rPr>
        <w:t>progress against plan);</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 xml:space="preserve">Measurement (indicators of success); </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Review (identifying areas requiring change</w:t>
      </w:r>
      <w:r w:rsidR="003073A3" w:rsidRPr="00C8149B">
        <w:rPr>
          <w:rFonts w:ascii="Arial" w:hAnsi="Arial" w:cs="Arial"/>
        </w:rPr>
        <w:t xml:space="preserve"> and </w:t>
      </w:r>
      <w:r w:rsidRPr="00C8149B">
        <w:rPr>
          <w:rFonts w:ascii="Arial" w:hAnsi="Arial" w:cs="Arial"/>
        </w:rPr>
        <w:t xml:space="preserve">improvement); </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Reporting (what information, to whom, from whom, how often and for what purpose); and</w:t>
      </w:r>
    </w:p>
    <w:p w:rsidR="008A4F54" w:rsidRPr="00C8149B" w:rsidRDefault="008A4F54" w:rsidP="00E50C0E">
      <w:pPr>
        <w:numPr>
          <w:ilvl w:val="0"/>
          <w:numId w:val="5"/>
        </w:numPr>
        <w:tabs>
          <w:tab w:val="clear" w:pos="720"/>
          <w:tab w:val="num" w:pos="1418"/>
        </w:tabs>
        <w:spacing w:after="0" w:line="240" w:lineRule="auto"/>
        <w:ind w:left="709" w:hanging="709"/>
        <w:jc w:val="both"/>
        <w:rPr>
          <w:rFonts w:ascii="Arial" w:hAnsi="Arial" w:cs="Arial"/>
        </w:rPr>
      </w:pPr>
      <w:r w:rsidRPr="00C8149B">
        <w:rPr>
          <w:rFonts w:ascii="Arial" w:hAnsi="Arial" w:cs="Arial"/>
        </w:rPr>
        <w:t>Improvement (</w:t>
      </w:r>
      <w:r w:rsidR="00654A78" w:rsidRPr="00C8149B">
        <w:rPr>
          <w:rFonts w:ascii="Arial" w:hAnsi="Arial" w:cs="Arial"/>
        </w:rPr>
        <w:t>making changes where necessary).</w:t>
      </w:r>
    </w:p>
    <w:p w:rsidR="00654A78" w:rsidRPr="00C8149B" w:rsidRDefault="00654A78" w:rsidP="004F3DE3">
      <w:pPr>
        <w:autoSpaceDE w:val="0"/>
        <w:autoSpaceDN w:val="0"/>
        <w:adjustRightInd w:val="0"/>
        <w:spacing w:after="0" w:line="240" w:lineRule="auto"/>
        <w:ind w:left="720"/>
        <w:jc w:val="both"/>
        <w:rPr>
          <w:rFonts w:ascii="Arial" w:eastAsia="Times New Roman" w:hAnsi="Arial" w:cs="Arial"/>
          <w:lang w:val="en-GB"/>
        </w:rPr>
      </w:pPr>
    </w:p>
    <w:p w:rsidR="00FC21F3" w:rsidRPr="00C8149B" w:rsidRDefault="00FC21F3" w:rsidP="004F3DE3">
      <w:pPr>
        <w:autoSpaceDE w:val="0"/>
        <w:autoSpaceDN w:val="0"/>
        <w:adjustRightInd w:val="0"/>
        <w:spacing w:after="0" w:line="240" w:lineRule="auto"/>
        <w:jc w:val="both"/>
        <w:rPr>
          <w:rFonts w:ascii="Arial" w:eastAsia="Times New Roman" w:hAnsi="Arial" w:cs="Arial"/>
          <w:lang w:val="en-GB"/>
        </w:rPr>
      </w:pPr>
      <w:r w:rsidRPr="00C8149B">
        <w:rPr>
          <w:rFonts w:ascii="Arial" w:eastAsia="Times New Roman" w:hAnsi="Arial" w:cs="Arial"/>
          <w:lang w:val="en-GB"/>
        </w:rPr>
        <w:t xml:space="preserve">The performance information concepts </w:t>
      </w:r>
      <w:r w:rsidR="00E138F4">
        <w:rPr>
          <w:rFonts w:ascii="Arial" w:eastAsia="Times New Roman" w:hAnsi="Arial" w:cs="Arial"/>
          <w:lang w:val="en-GB"/>
        </w:rPr>
        <w:t xml:space="preserve">used </w:t>
      </w:r>
      <w:r w:rsidR="00892BE3">
        <w:rPr>
          <w:rFonts w:ascii="Arial" w:eastAsia="Times New Roman" w:hAnsi="Arial" w:cs="Arial"/>
          <w:lang w:val="en-GB"/>
        </w:rPr>
        <w:t>by the municipality</w:t>
      </w:r>
      <w:r w:rsidR="001B343C">
        <w:rPr>
          <w:rFonts w:ascii="Arial" w:eastAsia="Times New Roman" w:hAnsi="Arial" w:cs="Arial"/>
          <w:lang w:val="en-GB"/>
        </w:rPr>
        <w:t xml:space="preserve"> in its integrated performance management system </w:t>
      </w:r>
      <w:r w:rsidR="00E138F4">
        <w:rPr>
          <w:rFonts w:ascii="Arial" w:eastAsia="Times New Roman" w:hAnsi="Arial" w:cs="Arial"/>
          <w:lang w:val="en-GB"/>
        </w:rPr>
        <w:t xml:space="preserve">are aligned to the </w:t>
      </w:r>
      <w:r w:rsidR="00E138F4" w:rsidRPr="001B343C">
        <w:rPr>
          <w:rFonts w:ascii="Arial" w:eastAsia="Times New Roman" w:hAnsi="Arial" w:cs="Arial"/>
          <w:b/>
          <w:i/>
          <w:lang w:val="en-GB"/>
        </w:rPr>
        <w:t>Framework of Managing Programme Performance Information</w:t>
      </w:r>
      <w:r w:rsidR="00E138F4">
        <w:rPr>
          <w:rFonts w:ascii="Arial" w:eastAsia="Times New Roman" w:hAnsi="Arial" w:cs="Arial"/>
          <w:lang w:val="en-GB"/>
        </w:rPr>
        <w:t xml:space="preserve"> issued by the National Treasury</w:t>
      </w:r>
      <w:r w:rsidRPr="00C8149B">
        <w:rPr>
          <w:rFonts w:ascii="Arial" w:eastAsia="Times New Roman" w:hAnsi="Arial" w:cs="Arial"/>
          <w:lang w:val="en-GB"/>
        </w:rPr>
        <w:t>:</w:t>
      </w:r>
    </w:p>
    <w:p w:rsidR="004F3DE3" w:rsidRPr="00C8149B" w:rsidRDefault="004F3DE3" w:rsidP="004F3DE3">
      <w:pPr>
        <w:autoSpaceDE w:val="0"/>
        <w:autoSpaceDN w:val="0"/>
        <w:adjustRightInd w:val="0"/>
        <w:spacing w:after="0" w:line="240" w:lineRule="auto"/>
        <w:jc w:val="both"/>
        <w:rPr>
          <w:rFonts w:ascii="Arial" w:eastAsia="Times New Roman" w:hAnsi="Arial" w:cs="Arial"/>
          <w:lang w:val="en-GB"/>
        </w:rPr>
      </w:pPr>
    </w:p>
    <w:p w:rsidR="00F50396" w:rsidRPr="002E1D9D" w:rsidRDefault="004F3DE3" w:rsidP="002E1D9D">
      <w:pPr>
        <w:autoSpaceDE w:val="0"/>
        <w:autoSpaceDN w:val="0"/>
        <w:adjustRightInd w:val="0"/>
        <w:spacing w:after="0" w:line="240" w:lineRule="auto"/>
        <w:jc w:val="both"/>
        <w:rPr>
          <w:rFonts w:ascii="Arial" w:eastAsia="Times New Roman" w:hAnsi="Arial" w:cs="Arial"/>
          <w:lang w:val="en-GB"/>
        </w:rPr>
        <w:sectPr w:rsidR="00F50396" w:rsidRPr="002E1D9D" w:rsidSect="00281E23">
          <w:headerReference w:type="first" r:id="rId36"/>
          <w:footerReference w:type="first" r:id="rId37"/>
          <w:pgSz w:w="12240" w:h="15840"/>
          <w:pgMar w:top="1440" w:right="1440" w:bottom="1440" w:left="1440" w:header="708" w:footer="708" w:gutter="0"/>
          <w:pgNumType w:start="1"/>
          <w:cols w:space="708"/>
          <w:titlePg/>
          <w:docGrid w:linePitch="360"/>
        </w:sectPr>
      </w:pPr>
      <w:r w:rsidRPr="00C8149B">
        <w:rPr>
          <w:rFonts w:ascii="Arial" w:eastAsia="Times New Roman" w:hAnsi="Arial" w:cs="Arial"/>
          <w:noProof/>
          <w:lang w:val="en-ZA" w:eastAsia="en-ZA"/>
        </w:rPr>
        <mc:AlternateContent>
          <mc:Choice Requires="wpg">
            <w:drawing>
              <wp:inline distT="0" distB="0" distL="0" distR="0" wp14:anchorId="0794E837" wp14:editId="769D2BD1">
                <wp:extent cx="5943600" cy="4486486"/>
                <wp:effectExtent l="0" t="0" r="0" b="0"/>
                <wp:docPr id="89125" name="Group 37"/>
                <wp:cNvGraphicFramePr/>
                <a:graphic xmlns:a="http://schemas.openxmlformats.org/drawingml/2006/main">
                  <a:graphicData uri="http://schemas.microsoft.com/office/word/2010/wordprocessingGroup">
                    <wpg:wgp>
                      <wpg:cNvGrpSpPr/>
                      <wpg:grpSpPr bwMode="auto">
                        <a:xfrm>
                          <a:off x="0" y="0"/>
                          <a:ext cx="5943600" cy="4486486"/>
                          <a:chOff x="36513" y="981075"/>
                          <a:chExt cx="5579" cy="3540"/>
                        </a:xfrm>
                      </wpg:grpSpPr>
                      <wps:wsp>
                        <wps:cNvPr id="87" name="AutoShape 4"/>
                        <wps:cNvSpPr>
                          <a:spLocks noChangeArrowheads="1"/>
                        </wps:cNvSpPr>
                        <wps:spPr bwMode="auto">
                          <a:xfrm flipV="1">
                            <a:off x="38140" y="983868"/>
                            <a:ext cx="2985" cy="547"/>
                          </a:xfrm>
                          <a:custGeom>
                            <a:avLst/>
                            <a:gdLst>
                              <a:gd name="G0" fmla="+- 1779 0 0"/>
                              <a:gd name="G1" fmla="+- 21600 0 1779"/>
                              <a:gd name="G2" fmla="*/ 1779 1 2"/>
                              <a:gd name="G3" fmla="+- 21600 0 G2"/>
                              <a:gd name="G4" fmla="+/ 1779 21600 2"/>
                              <a:gd name="G5" fmla="+/ G1 0 2"/>
                              <a:gd name="G6" fmla="*/ 21600 21600 1779"/>
                              <a:gd name="G7" fmla="*/ G6 1 2"/>
                              <a:gd name="G8" fmla="+- 21600 0 G7"/>
                              <a:gd name="G9" fmla="*/ 21600 1 2"/>
                              <a:gd name="G10" fmla="+- 1779 0 G9"/>
                              <a:gd name="G11" fmla="?: G10 G8 0"/>
                              <a:gd name="G12" fmla="?: G10 G7 21600"/>
                              <a:gd name="T0" fmla="*/ 20710 w 21600"/>
                              <a:gd name="T1" fmla="*/ 10800 h 21600"/>
                              <a:gd name="T2" fmla="*/ 10800 w 21600"/>
                              <a:gd name="T3" fmla="*/ 21600 h 21600"/>
                              <a:gd name="T4" fmla="*/ 890 w 21600"/>
                              <a:gd name="T5" fmla="*/ 10800 h 21600"/>
                              <a:gd name="T6" fmla="*/ 10800 w 21600"/>
                              <a:gd name="T7" fmla="*/ 0 h 21600"/>
                              <a:gd name="T8" fmla="*/ 2690 w 21600"/>
                              <a:gd name="T9" fmla="*/ 2690 h 21600"/>
                              <a:gd name="T10" fmla="*/ 18910 w 21600"/>
                              <a:gd name="T11" fmla="*/ 18910 h 21600"/>
                            </a:gdLst>
                            <a:ahLst/>
                            <a:cxnLst>
                              <a:cxn ang="0">
                                <a:pos x="T0" y="T1"/>
                              </a:cxn>
                              <a:cxn ang="0">
                                <a:pos x="T2" y="T3"/>
                              </a:cxn>
                              <a:cxn ang="0">
                                <a:pos x="T4" y="T5"/>
                              </a:cxn>
                              <a:cxn ang="0">
                                <a:pos x="T6" y="T7"/>
                              </a:cxn>
                            </a:cxnLst>
                            <a:rect l="T8" t="T9" r="T10" b="T11"/>
                            <a:pathLst>
                              <a:path w="21600" h="21600">
                                <a:moveTo>
                                  <a:pt x="0" y="0"/>
                                </a:moveTo>
                                <a:lnTo>
                                  <a:pt x="1779" y="21600"/>
                                </a:lnTo>
                                <a:lnTo>
                                  <a:pt x="19821" y="21600"/>
                                </a:lnTo>
                                <a:lnTo>
                                  <a:pt x="21600" y="0"/>
                                </a:lnTo>
                                <a:close/>
                              </a:path>
                            </a:pathLst>
                          </a:custGeom>
                          <a:gradFill rotWithShape="1">
                            <a:gsLst>
                              <a:gs pos="0">
                                <a:srgbClr val="CC9900"/>
                              </a:gs>
                              <a:gs pos="100000">
                                <a:schemeClr val="bg1"/>
                              </a:gs>
                            </a:gsLst>
                            <a:lin ang="5400000" scaled="1"/>
                          </a:gradFill>
                          <a:ln w="9525">
                            <a:noFill/>
                            <a:miter lim="800000"/>
                            <a:headEnd/>
                            <a:tailEnd/>
                          </a:ln>
                          <a:effectLst/>
                        </wps:spPr>
                        <wps:bodyPr rot="10800000" wrap="none" anchor="ctr"/>
                      </wps:wsp>
                      <wps:wsp>
                        <wps:cNvPr id="89" name="AutoShape 5"/>
                        <wps:cNvSpPr>
                          <a:spLocks noChangeArrowheads="1"/>
                        </wps:cNvSpPr>
                        <wps:spPr bwMode="auto">
                          <a:xfrm flipV="1">
                            <a:off x="38447" y="983233"/>
                            <a:ext cx="2371" cy="545"/>
                          </a:xfrm>
                          <a:custGeom>
                            <a:avLst/>
                            <a:gdLst>
                              <a:gd name="G0" fmla="+- 2206 0 0"/>
                              <a:gd name="G1" fmla="+- 21600 0 2206"/>
                              <a:gd name="G2" fmla="*/ 2206 1 2"/>
                              <a:gd name="G3" fmla="+- 21600 0 G2"/>
                              <a:gd name="G4" fmla="+/ 2206 21600 2"/>
                              <a:gd name="G5" fmla="+/ G1 0 2"/>
                              <a:gd name="G6" fmla="*/ 21600 21600 2206"/>
                              <a:gd name="G7" fmla="*/ G6 1 2"/>
                              <a:gd name="G8" fmla="+- 21600 0 G7"/>
                              <a:gd name="G9" fmla="*/ 21600 1 2"/>
                              <a:gd name="G10" fmla="+- 2206 0 G9"/>
                              <a:gd name="G11" fmla="?: G10 G8 0"/>
                              <a:gd name="G12" fmla="?: G10 G7 21600"/>
                              <a:gd name="T0" fmla="*/ 20497 w 21600"/>
                              <a:gd name="T1" fmla="*/ 10800 h 21600"/>
                              <a:gd name="T2" fmla="*/ 10800 w 21600"/>
                              <a:gd name="T3" fmla="*/ 21600 h 21600"/>
                              <a:gd name="T4" fmla="*/ 1103 w 21600"/>
                              <a:gd name="T5" fmla="*/ 10800 h 21600"/>
                              <a:gd name="T6" fmla="*/ 10800 w 21600"/>
                              <a:gd name="T7" fmla="*/ 0 h 21600"/>
                              <a:gd name="T8" fmla="*/ 2903 w 21600"/>
                              <a:gd name="T9" fmla="*/ 2903 h 21600"/>
                              <a:gd name="T10" fmla="*/ 18697 w 21600"/>
                              <a:gd name="T11" fmla="*/ 18697 h 21600"/>
                            </a:gdLst>
                            <a:ahLst/>
                            <a:cxnLst>
                              <a:cxn ang="0">
                                <a:pos x="T0" y="T1"/>
                              </a:cxn>
                              <a:cxn ang="0">
                                <a:pos x="T2" y="T3"/>
                              </a:cxn>
                              <a:cxn ang="0">
                                <a:pos x="T4" y="T5"/>
                              </a:cxn>
                              <a:cxn ang="0">
                                <a:pos x="T6" y="T7"/>
                              </a:cxn>
                            </a:cxnLst>
                            <a:rect l="T8" t="T9" r="T10" b="T11"/>
                            <a:pathLst>
                              <a:path w="21600" h="21600">
                                <a:moveTo>
                                  <a:pt x="0" y="0"/>
                                </a:moveTo>
                                <a:lnTo>
                                  <a:pt x="2206" y="21600"/>
                                </a:lnTo>
                                <a:lnTo>
                                  <a:pt x="19394" y="21600"/>
                                </a:lnTo>
                                <a:lnTo>
                                  <a:pt x="21600" y="0"/>
                                </a:lnTo>
                                <a:close/>
                              </a:path>
                            </a:pathLst>
                          </a:custGeom>
                          <a:gradFill rotWithShape="1">
                            <a:gsLst>
                              <a:gs pos="0">
                                <a:srgbClr val="FFCC00"/>
                              </a:gs>
                              <a:gs pos="100000">
                                <a:schemeClr val="bg1"/>
                              </a:gs>
                            </a:gsLst>
                            <a:lin ang="5400000" scaled="1"/>
                          </a:gradFill>
                          <a:ln w="9525">
                            <a:noFill/>
                            <a:miter lim="800000"/>
                            <a:headEnd/>
                            <a:tailEnd/>
                          </a:ln>
                          <a:effectLst/>
                        </wps:spPr>
                        <wps:bodyPr rot="10800000" wrap="none" anchor="ctr"/>
                      </wps:wsp>
                      <wps:wsp>
                        <wps:cNvPr id="90" name="AutoShape 6"/>
                        <wps:cNvSpPr>
                          <a:spLocks noChangeArrowheads="1"/>
                        </wps:cNvSpPr>
                        <wps:spPr bwMode="auto">
                          <a:xfrm flipV="1">
                            <a:off x="38710" y="982598"/>
                            <a:ext cx="1845" cy="545"/>
                          </a:xfrm>
                          <a:custGeom>
                            <a:avLst/>
                            <a:gdLst>
                              <a:gd name="G0" fmla="+- 3240 0 0"/>
                              <a:gd name="G1" fmla="+- 21600 0 3240"/>
                              <a:gd name="G2" fmla="*/ 3240 1 2"/>
                              <a:gd name="G3" fmla="+- 21600 0 G2"/>
                              <a:gd name="G4" fmla="+/ 3240 21600 2"/>
                              <a:gd name="G5" fmla="+/ G1 0 2"/>
                              <a:gd name="G6" fmla="*/ 21600 21600 3240"/>
                              <a:gd name="G7" fmla="*/ G6 1 2"/>
                              <a:gd name="G8" fmla="+- 21600 0 G7"/>
                              <a:gd name="G9" fmla="*/ 21600 1 2"/>
                              <a:gd name="G10" fmla="+- 3240 0 G9"/>
                              <a:gd name="G11" fmla="?: G10 G8 0"/>
                              <a:gd name="G12" fmla="?: G10 G7 21600"/>
                              <a:gd name="T0" fmla="*/ 19980 w 21600"/>
                              <a:gd name="T1" fmla="*/ 10800 h 21600"/>
                              <a:gd name="T2" fmla="*/ 10800 w 21600"/>
                              <a:gd name="T3" fmla="*/ 21600 h 21600"/>
                              <a:gd name="T4" fmla="*/ 1620 w 21600"/>
                              <a:gd name="T5" fmla="*/ 10800 h 21600"/>
                              <a:gd name="T6" fmla="*/ 10800 w 21600"/>
                              <a:gd name="T7" fmla="*/ 0 h 21600"/>
                              <a:gd name="T8" fmla="*/ 3420 w 21600"/>
                              <a:gd name="T9" fmla="*/ 3420 h 21600"/>
                              <a:gd name="T10" fmla="*/ 18180 w 21600"/>
                              <a:gd name="T11" fmla="*/ 18180 h 21600"/>
                            </a:gdLst>
                            <a:ahLst/>
                            <a:cxnLst>
                              <a:cxn ang="0">
                                <a:pos x="T0" y="T1"/>
                              </a:cxn>
                              <a:cxn ang="0">
                                <a:pos x="T2" y="T3"/>
                              </a:cxn>
                              <a:cxn ang="0">
                                <a:pos x="T4" y="T5"/>
                              </a:cxn>
                              <a:cxn ang="0">
                                <a:pos x="T6" y="T7"/>
                              </a:cxn>
                            </a:cxnLst>
                            <a:rect l="T8" t="T9" r="T10" b="T11"/>
                            <a:pathLst>
                              <a:path w="21600" h="21600">
                                <a:moveTo>
                                  <a:pt x="0" y="0"/>
                                </a:moveTo>
                                <a:lnTo>
                                  <a:pt x="3240" y="21600"/>
                                </a:lnTo>
                                <a:lnTo>
                                  <a:pt x="18360" y="21600"/>
                                </a:lnTo>
                                <a:lnTo>
                                  <a:pt x="21600" y="0"/>
                                </a:lnTo>
                                <a:close/>
                              </a:path>
                            </a:pathLst>
                          </a:custGeom>
                          <a:gradFill rotWithShape="1">
                            <a:gsLst>
                              <a:gs pos="0">
                                <a:srgbClr val="CCCC00"/>
                              </a:gs>
                              <a:gs pos="100000">
                                <a:schemeClr val="bg1"/>
                              </a:gs>
                            </a:gsLst>
                            <a:lin ang="5400000" scaled="1"/>
                          </a:gradFill>
                          <a:ln w="9525">
                            <a:noFill/>
                            <a:miter lim="800000"/>
                            <a:headEnd/>
                            <a:tailEnd/>
                          </a:ln>
                          <a:effectLst/>
                        </wps:spPr>
                        <wps:bodyPr rot="10800000" wrap="none" anchor="ctr"/>
                      </wps:wsp>
                      <wps:wsp>
                        <wps:cNvPr id="91" name="AutoShape 7"/>
                        <wps:cNvSpPr>
                          <a:spLocks noChangeArrowheads="1"/>
                        </wps:cNvSpPr>
                        <wps:spPr bwMode="auto">
                          <a:xfrm flipV="1">
                            <a:off x="39018" y="981963"/>
                            <a:ext cx="1229" cy="545"/>
                          </a:xfrm>
                          <a:custGeom>
                            <a:avLst/>
                            <a:gdLst>
                              <a:gd name="G0" fmla="+- 4546 0 0"/>
                              <a:gd name="G1" fmla="+- 21600 0 4546"/>
                              <a:gd name="G2" fmla="*/ 4546 1 2"/>
                              <a:gd name="G3" fmla="+- 21600 0 G2"/>
                              <a:gd name="G4" fmla="+/ 4546 21600 2"/>
                              <a:gd name="G5" fmla="+/ G1 0 2"/>
                              <a:gd name="G6" fmla="*/ 21600 21600 4546"/>
                              <a:gd name="G7" fmla="*/ G6 1 2"/>
                              <a:gd name="G8" fmla="+- 21600 0 G7"/>
                              <a:gd name="G9" fmla="*/ 21600 1 2"/>
                              <a:gd name="G10" fmla="+- 4546 0 G9"/>
                              <a:gd name="G11" fmla="?: G10 G8 0"/>
                              <a:gd name="G12" fmla="?: G10 G7 21600"/>
                              <a:gd name="T0" fmla="*/ 19327 w 21600"/>
                              <a:gd name="T1" fmla="*/ 10800 h 21600"/>
                              <a:gd name="T2" fmla="*/ 10800 w 21600"/>
                              <a:gd name="T3" fmla="*/ 21600 h 21600"/>
                              <a:gd name="T4" fmla="*/ 2273 w 21600"/>
                              <a:gd name="T5" fmla="*/ 10800 h 21600"/>
                              <a:gd name="T6" fmla="*/ 10800 w 21600"/>
                              <a:gd name="T7" fmla="*/ 0 h 21600"/>
                              <a:gd name="T8" fmla="*/ 4073 w 21600"/>
                              <a:gd name="T9" fmla="*/ 4073 h 21600"/>
                              <a:gd name="T10" fmla="*/ 17527 w 21600"/>
                              <a:gd name="T11" fmla="*/ 17527 h 21600"/>
                            </a:gdLst>
                            <a:ahLst/>
                            <a:cxnLst>
                              <a:cxn ang="0">
                                <a:pos x="T0" y="T1"/>
                              </a:cxn>
                              <a:cxn ang="0">
                                <a:pos x="T2" y="T3"/>
                              </a:cxn>
                              <a:cxn ang="0">
                                <a:pos x="T4" y="T5"/>
                              </a:cxn>
                              <a:cxn ang="0">
                                <a:pos x="T6" y="T7"/>
                              </a:cxn>
                            </a:cxnLst>
                            <a:rect l="T8" t="T9" r="T10" b="T11"/>
                            <a:pathLst>
                              <a:path w="21600" h="21600">
                                <a:moveTo>
                                  <a:pt x="0" y="0"/>
                                </a:moveTo>
                                <a:lnTo>
                                  <a:pt x="4546" y="21600"/>
                                </a:lnTo>
                                <a:lnTo>
                                  <a:pt x="17054" y="21600"/>
                                </a:lnTo>
                                <a:lnTo>
                                  <a:pt x="21600" y="0"/>
                                </a:lnTo>
                                <a:close/>
                              </a:path>
                            </a:pathLst>
                          </a:custGeom>
                          <a:gradFill rotWithShape="1">
                            <a:gsLst>
                              <a:gs pos="0">
                                <a:srgbClr val="808000"/>
                              </a:gs>
                              <a:gs pos="100000">
                                <a:schemeClr val="bg1"/>
                              </a:gs>
                            </a:gsLst>
                            <a:lin ang="5400000" scaled="1"/>
                          </a:gradFill>
                          <a:ln w="9525">
                            <a:noFill/>
                            <a:miter lim="800000"/>
                            <a:headEnd/>
                            <a:tailEnd/>
                          </a:ln>
                          <a:effectLst/>
                        </wps:spPr>
                        <wps:bodyPr rot="10800000" wrap="none" anchor="ctr"/>
                      </wps:wsp>
                      <wps:wsp>
                        <wps:cNvPr id="92" name="AutoShape 8"/>
                        <wps:cNvSpPr>
                          <a:spLocks noChangeArrowheads="1"/>
                        </wps:cNvSpPr>
                        <wps:spPr bwMode="auto">
                          <a:xfrm>
                            <a:off x="39325" y="981164"/>
                            <a:ext cx="615" cy="709"/>
                          </a:xfrm>
                          <a:prstGeom prst="triangle">
                            <a:avLst>
                              <a:gd name="adj" fmla="val 50944"/>
                            </a:avLst>
                          </a:prstGeom>
                          <a:solidFill>
                            <a:srgbClr val="996633"/>
                          </a:solidFill>
                          <a:ln w="9525">
                            <a:noFill/>
                            <a:miter lim="800000"/>
                            <a:headEnd/>
                            <a:tailEnd/>
                          </a:ln>
                          <a:effectLst/>
                        </wps:spPr>
                        <wps:bodyPr wrap="none" anchor="ctr"/>
                      </wps:wsp>
                      <wps:wsp>
                        <wps:cNvPr id="93" name="Text Box 9"/>
                        <wps:cNvSpPr txBox="1">
                          <a:spLocks noChangeArrowheads="1"/>
                        </wps:cNvSpPr>
                        <wps:spPr bwMode="auto">
                          <a:xfrm>
                            <a:off x="39196" y="981467"/>
                            <a:ext cx="860" cy="628"/>
                          </a:xfrm>
                          <a:prstGeom prst="rect">
                            <a:avLst/>
                          </a:prstGeom>
                          <a:noFill/>
                          <a:ln w="9525">
                            <a:noFill/>
                            <a:miter lim="800000"/>
                            <a:headEnd/>
                            <a:tailEnd/>
                          </a:ln>
                          <a:effectLst/>
                        </wps:spPr>
                        <wps:txbx>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IMPACTS</w:t>
                              </w:r>
                            </w:p>
                          </w:txbxContent>
                        </wps:txbx>
                        <wps:bodyPr>
                          <a:spAutoFit/>
                        </wps:bodyPr>
                      </wps:wsp>
                      <wps:wsp>
                        <wps:cNvPr id="94" name="Text Box 10"/>
                        <wps:cNvSpPr txBox="1">
                          <a:spLocks noChangeArrowheads="1"/>
                        </wps:cNvSpPr>
                        <wps:spPr bwMode="auto">
                          <a:xfrm>
                            <a:off x="39064" y="982159"/>
                            <a:ext cx="1099" cy="628"/>
                          </a:xfrm>
                          <a:prstGeom prst="rect">
                            <a:avLst/>
                          </a:prstGeom>
                          <a:noFill/>
                          <a:ln w="9525">
                            <a:noFill/>
                            <a:miter lim="800000"/>
                            <a:headEnd/>
                            <a:tailEnd/>
                          </a:ln>
                          <a:effectLst/>
                        </wps:spPr>
                        <wps:txbx>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OUTCOMES</w:t>
                              </w:r>
                            </w:p>
                          </w:txbxContent>
                        </wps:txbx>
                        <wps:bodyPr>
                          <a:spAutoFit/>
                        </wps:bodyPr>
                      </wps:wsp>
                      <wps:wsp>
                        <wps:cNvPr id="95" name="Text Box 11"/>
                        <wps:cNvSpPr txBox="1">
                          <a:spLocks noChangeArrowheads="1"/>
                        </wps:cNvSpPr>
                        <wps:spPr bwMode="auto">
                          <a:xfrm>
                            <a:off x="38757" y="982780"/>
                            <a:ext cx="1711" cy="402"/>
                          </a:xfrm>
                          <a:prstGeom prst="rect">
                            <a:avLst/>
                          </a:prstGeom>
                          <a:noFill/>
                          <a:ln w="9525">
                            <a:noFill/>
                            <a:miter lim="800000"/>
                            <a:headEnd/>
                            <a:tailEnd/>
                          </a:ln>
                          <a:effectLst/>
                        </wps:spPr>
                        <wps:txbx>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OUTPUTS</w:t>
                              </w:r>
                            </w:p>
                          </w:txbxContent>
                        </wps:txbx>
                        <wps:bodyPr>
                          <a:spAutoFit/>
                        </wps:bodyPr>
                      </wps:wsp>
                      <wps:wsp>
                        <wps:cNvPr id="96" name="Text Box 12"/>
                        <wps:cNvSpPr txBox="1">
                          <a:spLocks noChangeArrowheads="1"/>
                        </wps:cNvSpPr>
                        <wps:spPr bwMode="auto">
                          <a:xfrm>
                            <a:off x="38889" y="984051"/>
                            <a:ext cx="1493" cy="402"/>
                          </a:xfrm>
                          <a:prstGeom prst="rect">
                            <a:avLst/>
                          </a:prstGeom>
                          <a:noFill/>
                          <a:ln w="9525">
                            <a:noFill/>
                            <a:miter lim="800000"/>
                            <a:headEnd/>
                            <a:tailEnd/>
                          </a:ln>
                          <a:effectLst/>
                        </wps:spPr>
                        <wps:txbx>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INPUTS</w:t>
                              </w:r>
                            </w:p>
                          </w:txbxContent>
                        </wps:txbx>
                        <wps:bodyPr>
                          <a:spAutoFit/>
                        </wps:bodyPr>
                      </wps:wsp>
                      <wps:wsp>
                        <wps:cNvPr id="97" name="Text Box 13"/>
                        <wps:cNvSpPr txBox="1">
                          <a:spLocks noChangeArrowheads="1"/>
                        </wps:cNvSpPr>
                        <wps:spPr bwMode="auto">
                          <a:xfrm>
                            <a:off x="38757" y="983415"/>
                            <a:ext cx="1711" cy="402"/>
                          </a:xfrm>
                          <a:prstGeom prst="rect">
                            <a:avLst/>
                          </a:prstGeom>
                          <a:noFill/>
                          <a:ln w="9525">
                            <a:noFill/>
                            <a:miter lim="800000"/>
                            <a:headEnd/>
                            <a:tailEnd/>
                          </a:ln>
                          <a:effectLst/>
                        </wps:spPr>
                        <wps:txbx>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ACTIVITIES</w:t>
                              </w:r>
                            </w:p>
                          </w:txbxContent>
                        </wps:txbx>
                        <wps:bodyPr>
                          <a:spAutoFit/>
                        </wps:bodyPr>
                      </wps:wsp>
                      <wps:wsp>
                        <wps:cNvPr id="98" name="AutoShape 14"/>
                        <wps:cNvSpPr>
                          <a:spLocks noChangeArrowheads="1"/>
                        </wps:cNvSpPr>
                        <wps:spPr bwMode="auto">
                          <a:xfrm flipV="1">
                            <a:off x="39471" y="981827"/>
                            <a:ext cx="281" cy="134"/>
                          </a:xfrm>
                          <a:prstGeom prst="downArrow">
                            <a:avLst>
                              <a:gd name="adj1" fmla="val 33333"/>
                              <a:gd name="adj2" fmla="val 47222"/>
                            </a:avLst>
                          </a:prstGeom>
                          <a:solidFill>
                            <a:schemeClr val="bg1"/>
                          </a:solidFill>
                          <a:ln w="9525">
                            <a:solidFill>
                              <a:schemeClr val="tx1"/>
                            </a:solidFill>
                            <a:miter lim="800000"/>
                            <a:headEnd/>
                            <a:tailEnd/>
                          </a:ln>
                          <a:effectLst/>
                        </wps:spPr>
                        <wps:bodyPr wrap="none" anchor="ctr"/>
                      </wps:wsp>
                      <wps:wsp>
                        <wps:cNvPr id="99" name="AutoShape 15"/>
                        <wps:cNvSpPr>
                          <a:spLocks noChangeArrowheads="1"/>
                        </wps:cNvSpPr>
                        <wps:spPr bwMode="auto">
                          <a:xfrm flipV="1">
                            <a:off x="39471" y="982462"/>
                            <a:ext cx="281" cy="134"/>
                          </a:xfrm>
                          <a:prstGeom prst="downArrow">
                            <a:avLst>
                              <a:gd name="adj1" fmla="val 33333"/>
                              <a:gd name="adj2" fmla="val 47222"/>
                            </a:avLst>
                          </a:prstGeom>
                          <a:solidFill>
                            <a:schemeClr val="bg1"/>
                          </a:solidFill>
                          <a:ln w="9525">
                            <a:solidFill>
                              <a:schemeClr val="tx1"/>
                            </a:solidFill>
                            <a:miter lim="800000"/>
                            <a:headEnd/>
                            <a:tailEnd/>
                          </a:ln>
                          <a:effectLst/>
                        </wps:spPr>
                        <wps:bodyPr wrap="none" anchor="ctr"/>
                      </wps:wsp>
                      <wps:wsp>
                        <wps:cNvPr id="100" name="AutoShape 16"/>
                        <wps:cNvSpPr>
                          <a:spLocks noChangeArrowheads="1"/>
                        </wps:cNvSpPr>
                        <wps:spPr bwMode="auto">
                          <a:xfrm flipV="1">
                            <a:off x="39471" y="983097"/>
                            <a:ext cx="281" cy="134"/>
                          </a:xfrm>
                          <a:prstGeom prst="downArrow">
                            <a:avLst>
                              <a:gd name="adj1" fmla="val 33333"/>
                              <a:gd name="adj2" fmla="val 47222"/>
                            </a:avLst>
                          </a:prstGeom>
                          <a:solidFill>
                            <a:schemeClr val="tx1"/>
                          </a:solidFill>
                          <a:ln w="9525">
                            <a:noFill/>
                            <a:miter lim="800000"/>
                            <a:headEnd/>
                            <a:tailEnd/>
                          </a:ln>
                          <a:effectLst/>
                        </wps:spPr>
                        <wps:bodyPr wrap="none" anchor="ctr"/>
                      </wps:wsp>
                      <wps:wsp>
                        <wps:cNvPr id="101" name="AutoShape 17"/>
                        <wps:cNvSpPr>
                          <a:spLocks noChangeArrowheads="1"/>
                        </wps:cNvSpPr>
                        <wps:spPr bwMode="auto">
                          <a:xfrm flipV="1">
                            <a:off x="39471" y="983732"/>
                            <a:ext cx="281" cy="134"/>
                          </a:xfrm>
                          <a:prstGeom prst="downArrow">
                            <a:avLst>
                              <a:gd name="adj1" fmla="val 33333"/>
                              <a:gd name="adj2" fmla="val 47222"/>
                            </a:avLst>
                          </a:prstGeom>
                          <a:solidFill>
                            <a:schemeClr val="tx1"/>
                          </a:solidFill>
                          <a:ln w="9525">
                            <a:noFill/>
                            <a:miter lim="800000"/>
                            <a:headEnd/>
                            <a:tailEnd/>
                          </a:ln>
                          <a:effectLst/>
                        </wps:spPr>
                        <wps:bodyPr wrap="none" anchor="ctr"/>
                      </wps:wsp>
                      <wps:wsp>
                        <wps:cNvPr id="102" name="Text Box 18"/>
                        <wps:cNvSpPr txBox="1">
                          <a:spLocks noChangeArrowheads="1"/>
                        </wps:cNvSpPr>
                        <wps:spPr bwMode="auto">
                          <a:xfrm>
                            <a:off x="37420" y="981240"/>
                            <a:ext cx="1815" cy="382"/>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developmental results of achieving specific outcomes</w:t>
                              </w:r>
                            </w:p>
                          </w:txbxContent>
                        </wps:txbx>
                        <wps:bodyPr>
                          <a:spAutoFit/>
                        </wps:bodyPr>
                      </wps:wsp>
                      <wps:wsp>
                        <wps:cNvPr id="103" name="Text Box 19"/>
                        <wps:cNvSpPr txBox="1">
                          <a:spLocks noChangeArrowheads="1"/>
                        </wps:cNvSpPr>
                        <wps:spPr bwMode="auto">
                          <a:xfrm>
                            <a:off x="37103" y="981921"/>
                            <a:ext cx="1849" cy="613"/>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medium-term results for specific beneficiaries that are the consequence of achieving specific outputs</w:t>
                              </w:r>
                            </w:p>
                          </w:txbxContent>
                        </wps:txbx>
                        <wps:bodyPr>
                          <a:spAutoFit/>
                        </wps:bodyPr>
                      </wps:wsp>
                      <wps:wsp>
                        <wps:cNvPr id="104" name="Text Box 20"/>
                        <wps:cNvSpPr txBox="1">
                          <a:spLocks noChangeArrowheads="1"/>
                        </wps:cNvSpPr>
                        <wps:spPr bwMode="auto">
                          <a:xfrm>
                            <a:off x="36967" y="982556"/>
                            <a:ext cx="1677" cy="498"/>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final products, or goods and services produced for delivery</w:t>
                              </w:r>
                            </w:p>
                          </w:txbxContent>
                        </wps:txbx>
                        <wps:bodyPr>
                          <a:spAutoFit/>
                        </wps:bodyPr>
                      </wps:wsp>
                      <wps:wsp>
                        <wps:cNvPr id="105" name="Text Box 21"/>
                        <wps:cNvSpPr txBox="1">
                          <a:spLocks noChangeArrowheads="1"/>
                        </wps:cNvSpPr>
                        <wps:spPr bwMode="auto">
                          <a:xfrm>
                            <a:off x="36603" y="983191"/>
                            <a:ext cx="1778" cy="613"/>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processes or actions that use a range of inputs to produce the desired outputs and ultimately outcomes</w:t>
                              </w:r>
                            </w:p>
                          </w:txbxContent>
                        </wps:txbx>
                        <wps:bodyPr>
                          <a:spAutoFit/>
                        </wps:bodyPr>
                      </wps:wsp>
                      <wps:wsp>
                        <wps:cNvPr id="106" name="Text Box 22"/>
                        <wps:cNvSpPr txBox="1">
                          <a:spLocks noChangeArrowheads="1"/>
                        </wps:cNvSpPr>
                        <wps:spPr bwMode="auto">
                          <a:xfrm>
                            <a:off x="36604" y="983826"/>
                            <a:ext cx="1492" cy="613"/>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resources that contribute to the production and delivery of outputs</w:t>
                              </w:r>
                            </w:p>
                          </w:txbxContent>
                        </wps:txbx>
                        <wps:bodyPr>
                          <a:spAutoFit/>
                        </wps:bodyPr>
                      </wps:wsp>
                      <wps:wsp>
                        <wps:cNvPr id="107" name="Line 23"/>
                        <wps:cNvCnPr/>
                        <wps:spPr bwMode="auto">
                          <a:xfrm>
                            <a:off x="37438" y="982508"/>
                            <a:ext cx="1581" cy="0"/>
                          </a:xfrm>
                          <a:prstGeom prst="line">
                            <a:avLst/>
                          </a:prstGeom>
                          <a:noFill/>
                          <a:ln w="9525">
                            <a:solidFill>
                              <a:srgbClr val="3399FF"/>
                            </a:solidFill>
                            <a:round/>
                            <a:headEnd/>
                            <a:tailEnd/>
                          </a:ln>
                          <a:effectLst/>
                        </wps:spPr>
                        <wps:bodyPr/>
                      </wps:wsp>
                      <wps:wsp>
                        <wps:cNvPr id="108" name="Line 24"/>
                        <wps:cNvCnPr/>
                        <wps:spPr bwMode="auto">
                          <a:xfrm>
                            <a:off x="36866" y="983778"/>
                            <a:ext cx="1581" cy="0"/>
                          </a:xfrm>
                          <a:prstGeom prst="line">
                            <a:avLst/>
                          </a:prstGeom>
                          <a:noFill/>
                          <a:ln w="9525">
                            <a:solidFill>
                              <a:srgbClr val="3399FF"/>
                            </a:solidFill>
                            <a:round/>
                            <a:headEnd/>
                            <a:tailEnd/>
                          </a:ln>
                          <a:effectLst/>
                        </wps:spPr>
                        <wps:bodyPr/>
                      </wps:wsp>
                      <wps:wsp>
                        <wps:cNvPr id="109" name="Line 25"/>
                        <wps:cNvCnPr/>
                        <wps:spPr bwMode="auto">
                          <a:xfrm>
                            <a:off x="36559" y="984413"/>
                            <a:ext cx="1581" cy="0"/>
                          </a:xfrm>
                          <a:prstGeom prst="line">
                            <a:avLst/>
                          </a:prstGeom>
                          <a:noFill/>
                          <a:ln w="9525">
                            <a:solidFill>
                              <a:srgbClr val="3399FF"/>
                            </a:solidFill>
                            <a:round/>
                            <a:headEnd/>
                            <a:tailEnd/>
                          </a:ln>
                          <a:effectLst/>
                        </wps:spPr>
                        <wps:bodyPr/>
                      </wps:wsp>
                      <wps:wsp>
                        <wps:cNvPr id="110" name="Line 26"/>
                        <wps:cNvCnPr/>
                        <wps:spPr bwMode="auto">
                          <a:xfrm>
                            <a:off x="37722" y="981873"/>
                            <a:ext cx="1581" cy="0"/>
                          </a:xfrm>
                          <a:prstGeom prst="line">
                            <a:avLst/>
                          </a:prstGeom>
                          <a:noFill/>
                          <a:ln w="9525">
                            <a:solidFill>
                              <a:srgbClr val="3399FF"/>
                            </a:solidFill>
                            <a:round/>
                            <a:headEnd/>
                            <a:tailEnd/>
                          </a:ln>
                          <a:effectLst/>
                        </wps:spPr>
                        <wps:bodyPr/>
                      </wps:wsp>
                      <wps:wsp>
                        <wps:cNvPr id="111" name="Line 27"/>
                        <wps:cNvCnPr/>
                        <wps:spPr bwMode="auto">
                          <a:xfrm>
                            <a:off x="37129" y="983143"/>
                            <a:ext cx="1581" cy="0"/>
                          </a:xfrm>
                          <a:prstGeom prst="line">
                            <a:avLst/>
                          </a:prstGeom>
                          <a:noFill/>
                          <a:ln w="9525">
                            <a:solidFill>
                              <a:srgbClr val="3399FF"/>
                            </a:solidFill>
                            <a:round/>
                            <a:headEnd/>
                            <a:tailEnd/>
                          </a:ln>
                          <a:effectLst/>
                        </wps:spPr>
                        <wps:bodyPr/>
                      </wps:wsp>
                      <wps:wsp>
                        <wps:cNvPr id="112" name="Text Box 28"/>
                        <wps:cNvSpPr txBox="1">
                          <a:spLocks noChangeArrowheads="1"/>
                        </wps:cNvSpPr>
                        <wps:spPr bwMode="auto">
                          <a:xfrm>
                            <a:off x="36513" y="984233"/>
                            <a:ext cx="1558" cy="382"/>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What we use to do the work?</w:t>
                              </w:r>
                            </w:p>
                          </w:txbxContent>
                        </wps:txbx>
                        <wps:bodyPr>
                          <a:spAutoFit/>
                        </wps:bodyPr>
                      </wps:wsp>
                      <wps:wsp>
                        <wps:cNvPr id="113" name="Text Box 29"/>
                        <wps:cNvSpPr txBox="1">
                          <a:spLocks noChangeArrowheads="1"/>
                        </wps:cNvSpPr>
                        <wps:spPr bwMode="auto">
                          <a:xfrm>
                            <a:off x="36785" y="983599"/>
                            <a:ext cx="1558" cy="267"/>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do?</w:t>
                              </w:r>
                            </w:p>
                          </w:txbxContent>
                        </wps:txbx>
                        <wps:bodyPr>
                          <a:spAutoFit/>
                        </wps:bodyPr>
                      </wps:wsp>
                      <wps:wsp>
                        <wps:cNvPr id="114" name="Text Box 30"/>
                        <wps:cNvSpPr txBox="1">
                          <a:spLocks noChangeArrowheads="1"/>
                        </wps:cNvSpPr>
                        <wps:spPr bwMode="auto">
                          <a:xfrm>
                            <a:off x="37042" y="982964"/>
                            <a:ext cx="1558" cy="382"/>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produce or deliver?</w:t>
                              </w:r>
                            </w:p>
                          </w:txbxContent>
                        </wps:txbx>
                        <wps:bodyPr>
                          <a:spAutoFit/>
                        </wps:bodyPr>
                      </wps:wsp>
                      <wps:wsp>
                        <wps:cNvPr id="115" name="Text Box 31"/>
                        <wps:cNvSpPr txBox="1">
                          <a:spLocks noChangeArrowheads="1"/>
                        </wps:cNvSpPr>
                        <wps:spPr bwMode="auto">
                          <a:xfrm>
                            <a:off x="37359" y="982329"/>
                            <a:ext cx="1558" cy="382"/>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wish to achieve?</w:t>
                              </w:r>
                            </w:p>
                          </w:txbxContent>
                        </wps:txbx>
                        <wps:bodyPr>
                          <a:spAutoFit/>
                        </wps:bodyPr>
                      </wps:wsp>
                      <wps:wsp>
                        <wps:cNvPr id="116" name="Text Box 32"/>
                        <wps:cNvSpPr txBox="1">
                          <a:spLocks noChangeArrowheads="1"/>
                        </wps:cNvSpPr>
                        <wps:spPr bwMode="auto">
                          <a:xfrm>
                            <a:off x="37647" y="981694"/>
                            <a:ext cx="1558" cy="382"/>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aim to change?</w:t>
                              </w:r>
                            </w:p>
                          </w:txbxContent>
                        </wps:txbx>
                        <wps:bodyPr>
                          <a:spAutoFit/>
                        </wps:bodyPr>
                      </wps:wsp>
                      <wps:wsp>
                        <wps:cNvPr id="117" name="AutoShape 33"/>
                        <wps:cNvSpPr>
                          <a:spLocks/>
                        </wps:cNvSpPr>
                        <wps:spPr bwMode="auto">
                          <a:xfrm rot="19980000" flipH="1">
                            <a:off x="40958" y="982458"/>
                            <a:ext cx="136" cy="1996"/>
                          </a:xfrm>
                          <a:prstGeom prst="leftBrace">
                            <a:avLst>
                              <a:gd name="adj1" fmla="val 122304"/>
                              <a:gd name="adj2" fmla="val 50000"/>
                            </a:avLst>
                          </a:prstGeom>
                          <a:noFill/>
                          <a:ln w="12700">
                            <a:solidFill>
                              <a:schemeClr val="tx1"/>
                            </a:solidFill>
                            <a:round/>
                            <a:headEnd/>
                            <a:tailEnd/>
                          </a:ln>
                          <a:effectLst/>
                        </wps:spPr>
                        <wps:bodyPr wrap="none" anchor="ctr"/>
                      </wps:wsp>
                      <wps:wsp>
                        <wps:cNvPr id="118" name="AutoShape 34"/>
                        <wps:cNvSpPr>
                          <a:spLocks/>
                        </wps:cNvSpPr>
                        <wps:spPr bwMode="auto">
                          <a:xfrm rot="19980000" flipH="1">
                            <a:off x="40142" y="981075"/>
                            <a:ext cx="136" cy="1531"/>
                          </a:xfrm>
                          <a:prstGeom prst="leftBrace">
                            <a:avLst>
                              <a:gd name="adj1" fmla="val 93811"/>
                              <a:gd name="adj2" fmla="val 50000"/>
                            </a:avLst>
                          </a:prstGeom>
                          <a:noFill/>
                          <a:ln w="12700">
                            <a:solidFill>
                              <a:schemeClr val="tx1"/>
                            </a:solidFill>
                            <a:round/>
                            <a:headEnd/>
                            <a:tailEnd/>
                          </a:ln>
                          <a:effectLst/>
                        </wps:spPr>
                        <wps:bodyPr wrap="none" anchor="ctr"/>
                      </wps:wsp>
                      <wps:wsp>
                        <wps:cNvPr id="119" name="Text Box 35"/>
                        <wps:cNvSpPr txBox="1">
                          <a:spLocks noChangeArrowheads="1"/>
                        </wps:cNvSpPr>
                        <wps:spPr bwMode="auto">
                          <a:xfrm>
                            <a:off x="41072" y="983191"/>
                            <a:ext cx="1020" cy="971"/>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68" w:beforeAutospacing="0" w:after="0" w:afterAutospacing="0"/>
                                <w:jc w:val="center"/>
                                <w:textAlignment w:val="baseline"/>
                                <w:rPr>
                                  <w:sz w:val="24"/>
                                  <w:szCs w:val="24"/>
                                </w:rPr>
                              </w:pPr>
                              <w:r>
                                <w:rPr>
                                  <w:rFonts w:ascii="Arial" w:hAnsi="Arial" w:cstheme="minorBidi"/>
                                  <w:b/>
                                  <w:bCs/>
                                  <w:color w:val="000000" w:themeColor="text1"/>
                                  <w:kern w:val="24"/>
                                  <w:sz w:val="28"/>
                                  <w:szCs w:val="28"/>
                                  <w:lang w:val="en-GB"/>
                                </w:rPr>
                                <w:t xml:space="preserve">Plan, budget, implement and monitor </w:t>
                              </w:r>
                            </w:p>
                          </w:txbxContent>
                        </wps:txbx>
                        <wps:bodyPr>
                          <a:spAutoFit/>
                        </wps:bodyPr>
                      </wps:wsp>
                      <wps:wsp>
                        <wps:cNvPr id="120" name="Text Box 36"/>
                        <wps:cNvSpPr txBox="1">
                          <a:spLocks noChangeArrowheads="1"/>
                        </wps:cNvSpPr>
                        <wps:spPr bwMode="auto">
                          <a:xfrm>
                            <a:off x="40323" y="981558"/>
                            <a:ext cx="1044" cy="971"/>
                          </a:xfrm>
                          <a:prstGeom prst="rect">
                            <a:avLst/>
                          </a:prstGeom>
                          <a:noFill/>
                          <a:ln w="9525">
                            <a:noFill/>
                            <a:miter lim="800000"/>
                            <a:headEnd/>
                            <a:tailEnd/>
                          </a:ln>
                          <a:effectLst/>
                        </wps:spPr>
                        <wps:txbx>
                          <w:txbxContent>
                            <w:p w:rsidR="0082796F" w:rsidRDefault="0082796F" w:rsidP="00C91FAB">
                              <w:pPr>
                                <w:pStyle w:val="NormalWeb"/>
                                <w:kinsoku w:val="0"/>
                                <w:overflowPunct w:val="0"/>
                                <w:spacing w:before="168" w:beforeAutospacing="0" w:after="0" w:afterAutospacing="0"/>
                                <w:jc w:val="center"/>
                                <w:textAlignment w:val="baseline"/>
                                <w:rPr>
                                  <w:sz w:val="24"/>
                                  <w:szCs w:val="24"/>
                                </w:rPr>
                              </w:pPr>
                              <w:r>
                                <w:rPr>
                                  <w:rFonts w:ascii="Arial" w:hAnsi="Arial" w:cstheme="minorBidi"/>
                                  <w:b/>
                                  <w:bCs/>
                                  <w:color w:val="000000" w:themeColor="text1"/>
                                  <w:kern w:val="24"/>
                                  <w:sz w:val="28"/>
                                  <w:szCs w:val="28"/>
                                  <w:lang w:val="en-GB"/>
                                </w:rPr>
                                <w:t>Manage towards achieving these results</w:t>
                              </w:r>
                            </w:p>
                          </w:txbxContent>
                        </wps:txbx>
                        <wps:bodyPr>
                          <a:spAutoFit/>
                        </wps:bodyPr>
                      </wps:wsp>
                    </wpg:wgp>
                  </a:graphicData>
                </a:graphic>
              </wp:inline>
            </w:drawing>
          </mc:Choice>
          <mc:Fallback>
            <w:pict>
              <v:group w14:anchorId="0794E837" id="Group 37" o:spid="_x0000_s1026" style="width:468pt;height:353.25pt;mso-position-horizontal-relative:char;mso-position-vertical-relative:line" coordorigin="365,9810" coordsize="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">
                <v:shape id="AutoShape 4" o:spid="_x0000_s1027" style="position:absolute;left:381;top:9838;width:30;height:6;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oC8QA&#10;AADbAAAADwAAAGRycy9kb3ducmV2LnhtbESPQWvCQBSE74X+h+UVvNWNIlZTVymi4EWLUdHjI/ua&#10;xGbfhuxGo7++WxA8DjPzDTOZtaYUF6pdYVlBrxuBIE6tLjhTsN8t30cgnEfWWFomBTdyMJu+vkww&#10;1vbKW7okPhMBwi5GBbn3VSylS3My6Lq2Ig7ej60N+iDrTOoarwFuStmPoqE0WHBYyLGieU7pb9IY&#10;BYOGDuf7GpMFrdLD8XtMm8GpUarz1n59gvDU+mf40V5pBaMP+P8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aAvEAAAA2wAAAA8AAAAAAAAAAAAAAAAAmAIAAGRycy9k&#10;b3ducmV2LnhtbFBLBQYAAAAABAAEAPUAAACJAwAAAAA=&#10;" path="m,l1779,21600r18042,l21600,,,xe" fillcolor="#c90" stroked="f">
                  <v:fill color2="white [3212]" rotate="t" focus="100%" type="gradient"/>
                  <v:stroke joinstyle="miter"/>
                  <v:path o:connecttype="custom" o:connectlocs="2862,274;1493,547;123,274;1493,0" o:connectangles="0,0,0,0" textboxrect="2692,2685,18908,18915"/>
                </v:shape>
                <v:shape id="AutoShape 5" o:spid="_x0000_s1028" style="position:absolute;left:384;top:9832;width:24;height:5;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gMYA&#10;AADbAAAADwAAAGRycy9kb3ducmV2LnhtbESPT2vCQBTE74V+h+UJ3urGFqKm2YRikXqQgn+w10f2&#10;NQnNvk2zq0n99G5B8DjMzG+YNB9MI87UudqygukkAkFcWF1zqeCwXz3NQTiPrLGxTAr+yEGePT6k&#10;mGjb85bOO1+KAGGXoILK+zaR0hUVGXQT2xIH79t2Bn2QXSl1h32Am0Y+R1EsDdYcFipsaVlR8bM7&#10;GQUXu7ksf+P3l0Vv1p/H1YG/itmHUuPR8PYKwtPg7+Fbe60VzBfw/yX8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iSgMYAAADbAAAADwAAAAAAAAAAAAAAAACYAgAAZHJz&#10;L2Rvd25yZXYueG1sUEsFBgAAAAAEAAQA9QAAAIsDAAAAAA==&#10;" path="m,l2206,21600r17188,l21600,,,xe" fillcolor="#fc0" stroked="f">
                  <v:fill color2="white [3212]" rotate="t" focus="100%" type="gradient"/>
                  <v:stroke joinstyle="miter"/>
                  <v:path o:connecttype="custom" o:connectlocs="2250,273;1186,545;121,273;1186,0" o:connectangles="0,0,0,0" textboxrect="2906,2893,18694,18707"/>
                </v:shape>
                <v:shape id="AutoShape 6" o:spid="_x0000_s1029" style="position:absolute;left:387;top:9825;width:18;height:6;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TBsEA&#10;AADbAAAADwAAAGRycy9kb3ducmV2LnhtbERPz2vCMBS+C/sfwhvsIppugsxqFNchKJ7aefH2bJ5N&#10;sXnpmqjdf78cBI8f3+/FqreNuFHna8cK3scJCOLS6ZorBYefzegThA/IGhvHpOCPPKyWL4MFptrd&#10;OadbESoRQ9inqMCE0KZS+tKQRT92LXHkzq6zGCLsKqk7vMdw28iPJJlKizXHBoMtZYbKS3G1Cr73&#10;9Hs+Znwyk2G23lXui055rtTba7+egwjUh6f44d5qBbO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EkwbBAAAA2wAAAA8AAAAAAAAAAAAAAAAAmAIAAGRycy9kb3du&#10;cmV2LnhtbFBLBQYAAAAABAAEAPUAAACGAwAAAAA=&#10;" path="m,l3240,21600r15120,l21600,,,xe" fillcolor="#cc0" stroked="f">
                  <v:fill color2="white [3212]" rotate="t" focus="100%" type="gradient"/>
                  <v:stroke joinstyle="miter"/>
                  <v:path o:connecttype="custom" o:connectlocs="1707,273;923,545;138,273;923,0" o:connectangles="0,0,0,0" textboxrect="3419,3408,18181,18192"/>
                </v:shape>
                <v:shape id="AutoShape 7" o:spid="_x0000_s1030" style="position:absolute;left:390;top:9819;width:12;height:6;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EccQA&#10;AADbAAAADwAAAGRycy9kb3ducmV2LnhtbESPQWvCQBSE74X+h+UVems2epCaZhWxEXIqNpbm+si+&#10;JtHs2zS7mvjvuwXB4zAz3zDpejKduNDgWssKZlEMgriyuuVawddh9/IKwnlkjZ1lUnAlB+vV40OK&#10;ibYjf9Kl8LUIEHYJKmi87xMpXdWQQRfZnjh4P3Yw6IMcaqkHHAPcdHIexwtpsOWw0GBP24aqU3E2&#10;Cr7NPt8d3z/oN5tvsq0t80NWWqWen6bNGwhPk7+Hb+1cK1jO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xHHEAAAA2wAAAA8AAAAAAAAAAAAAAAAAmAIAAGRycy9k&#10;b3ducmV2LnhtbFBLBQYAAAAABAAEAPUAAACJAwAAAAA=&#10;" path="m,l4546,21600r12508,l21600,,,xe" fillcolor="olive" stroked="f">
                  <v:fill color2="white [3212]" rotate="t" focus="100%" type="gradient"/>
                  <v:stroke joinstyle="miter"/>
                  <v:path o:connecttype="custom" o:connectlocs="1100,273;615,545;129,273;615,0" o:connectangles="0,0,0,0" textboxrect="4077,4082,17523,17518"/>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1" type="#_x0000_t5" style="position:absolute;left:393;top:9811;width:6;height: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avMQA&#10;AADbAAAADwAAAGRycy9kb3ducmV2LnhtbESPT2sCMRTE7wW/Q3hCbzWrB2lXo6yCUGwPrX8Qb4/N&#10;c7O4eVmSVHe/fVMoeBxm5jfMfNnZRtzIh9qxgvEoA0FcOl1zpeCw37y8gggRWWPjmBT0FGC5GDzN&#10;Mdfuzt9028VKJAiHHBWYGNtcylAashhGriVO3sV5izFJX0nt8Z7gtpGTLJtKizWnBYMtrQ2V192P&#10;VSAPNa3OW/P5EVdF/+X7qj0dC6Weh10xAxGpi4/wf/tdK3ib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GrzEAAAA2wAAAA8AAAAAAAAAAAAAAAAAmAIAAGRycy9k&#10;b3ducmV2LnhtbFBLBQYAAAAABAAEAPUAAACJAwAAAAA=&#10;" adj="11004" fillcolor="#963" stroked="f"/>
                <v:shapetype id="_x0000_t202" coordsize="21600,21600" o:spt="202" path="m,l,21600r21600,l21600,xe">
                  <v:stroke joinstyle="miter"/>
                  <v:path gradientshapeok="t" o:connecttype="rect"/>
                </v:shapetype>
                <v:shape id="Text Box 9" o:spid="_x0000_s1032" type="#_x0000_t202" style="position:absolute;left:391;top:9814;width: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IMPACTS</w:t>
                        </w:r>
                      </w:p>
                    </w:txbxContent>
                  </v:textbox>
                </v:shape>
                <v:shape id="Text Box 10" o:spid="_x0000_s1033" type="#_x0000_t202" style="position:absolute;left:390;top:9821;width:1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OUTCOMES</w:t>
                        </w:r>
                      </w:p>
                    </w:txbxContent>
                  </v:textbox>
                </v:shape>
                <v:shape id="Text Box 11" o:spid="_x0000_s1034" type="#_x0000_t202" style="position:absolute;left:387;top:9827;width:1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OUTPUTS</w:t>
                        </w:r>
                      </w:p>
                    </w:txbxContent>
                  </v:textbox>
                </v:shape>
                <v:shape id="Text Box 12" o:spid="_x0000_s1035" type="#_x0000_t202" style="position:absolute;left:388;top:9840;width:1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INPUTS</w:t>
                        </w:r>
                      </w:p>
                    </w:txbxContent>
                  </v:textbox>
                </v:shape>
                <v:shape id="Text Box 13" o:spid="_x0000_s1036" type="#_x0000_t202" style="position:absolute;left:387;top:9834;width:1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82796F" w:rsidRDefault="0082796F" w:rsidP="00C91FAB">
                        <w:pPr>
                          <w:pStyle w:val="NormalWeb"/>
                          <w:spacing w:before="192" w:beforeAutospacing="0" w:after="0" w:afterAutospacing="0"/>
                          <w:jc w:val="center"/>
                          <w:textAlignment w:val="baseline"/>
                          <w:rPr>
                            <w:sz w:val="24"/>
                            <w:szCs w:val="24"/>
                          </w:rPr>
                        </w:pPr>
                        <w:r>
                          <w:rPr>
                            <w:rFonts w:ascii="Arial Black" w:hAnsi="Arial Black" w:cstheme="minorBidi"/>
                            <w:color w:val="000000" w:themeColor="text1"/>
                            <w:kern w:val="24"/>
                            <w:sz w:val="32"/>
                            <w:szCs w:val="32"/>
                            <w:lang w:val="en-GB"/>
                          </w:rPr>
                          <w:t>ACTIVITIES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7" type="#_x0000_t67" style="position:absolute;left:394;top:9818;width:3;height:1;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wQMEA&#10;AADbAAAADwAAAGRycy9kb3ducmV2LnhtbERPz2vCMBS+C/4P4Qm72dQx1HVGcYPBcKyy6mHHZ/Ns&#10;is1LaTLb/ffLQfD48f1ebQbbiCt1vnasYJakIIhLp2uuFBwP79MlCB+QNTaOScEfedisx6MVZtr1&#10;/E3XIlQihrDPUIEJoc2k9KUhiz5xLXHkzq6zGCLsKqk77GO4beRjms6lxZpjg8GW3gyVl+LXKtid&#10;zGt+ojz/5EXRaNs/mf3Xj1IPk2H7AiLQEO7im/tDK3iOY+O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9cEDBAAAA2wAAAA8AAAAAAAAAAAAAAAAAmAIAAGRycy9kb3du&#10;cmV2LnhtbFBLBQYAAAAABAAEAPUAAACGAwAAAAA=&#10;" adj="11400,7200" fillcolor="white [3212]" strokecolor="black [3213]"/>
                <v:shape id="AutoShape 15" o:spid="_x0000_s1038" type="#_x0000_t67" style="position:absolute;left:394;top:9824;width:3;height:1;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V28QA&#10;AADbAAAADwAAAGRycy9kb3ducmV2LnhtbESPQWvCQBSE74L/YXlCb7qxlKrRVbRQKC1GmvbQ4zP7&#10;zAazb0N2a9J/3xUEj8PMfMOsNr2txYVaXzlWMJ0kIIgLpysuFXx/vY7nIHxA1lg7JgV/5GGzHg5W&#10;mGrX8Sdd8lCKCGGfogITQpNK6QtDFv3ENcTRO7nWYoiyLaVusYtwW8vHJHmWFiuOCwYbejFUnPNf&#10;q+D9aHbZkbLsg2d5rW33ZA77H6UeRv12CSJQH+7hW/tNK1gs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1dvEAAAA2wAAAA8AAAAAAAAAAAAAAAAAmAIAAGRycy9k&#10;b3ducmV2LnhtbFBLBQYAAAAABAAEAPUAAACJAwAAAAA=&#10;" adj="11400,7200" fillcolor="white [3212]" strokecolor="black [3213]"/>
                <v:shape id="AutoShape 16" o:spid="_x0000_s1039" type="#_x0000_t67" style="position:absolute;left:394;top:9830;width:3;height:2;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lxsUA&#10;AADcAAAADwAAAGRycy9kb3ducmV2LnhtbESPQW/CMAyF75P2HyJP2m0kmyaYCgFNrAhuCMZhu5nG&#10;a6s1TmlS6P79fEDiZus9v/d5thh8o87UxTqwheeRAUVcBFdzaeHwuXp6AxUTssMmMFn4owiL+f3d&#10;DDMXLryj8z6VSkI4ZmihSqnNtI5FRR7jKLTEov2EzmOStSu16/Ai4b7RL8aMtceapaHClpYVFb/7&#10;3ls4HQ/fef6a92lbrJf9ZGw+vpyx9vFheJ+CSjSkm/l6vXGCbwRf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yXGxQAAANwAAAAPAAAAAAAAAAAAAAAAAJgCAABkcnMv&#10;ZG93bnJldi54bWxQSwUGAAAAAAQABAD1AAAAigMAAAAA&#10;" adj="11400,7200" fillcolor="black [3213]" stroked="f"/>
                <v:shape id="AutoShape 17" o:spid="_x0000_s1040" type="#_x0000_t67" style="position:absolute;left:394;top:9837;width:3;height:1;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AXcMA&#10;AADcAAAADwAAAGRycy9kb3ducmV2LnhtbERPTWvCQBC9F/oflhG81d1IsSW6BrEp9lZqPehtzI5J&#10;MDsbsxtN/323UPA2j/c5i2ywjbhS52vHGpKJAkFcOFNzqWH3/f70CsIHZIONY9LwQx6y5ePDAlPj&#10;bvxF120oRQxhn6KGKoQ2ldIXFVn0E9cSR+7kOoshwq6UpsNbDLeNnCo1kxZrjg0VtrSuqDhve6vh&#10;ctwd8vw578NnsVn3LzP1tjdK6/FoWM1BBBrCXfzv/jBxvkr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AXcMAAADcAAAADwAAAAAAAAAAAAAAAACYAgAAZHJzL2Rv&#10;d25yZXYueG1sUEsFBgAAAAAEAAQA9QAAAIgDAAAAAA==&#10;" adj="11400,7200" fillcolor="black [3213]" stroked="f"/>
                <v:shape id="Text Box 18" o:spid="_x0000_s1041" type="#_x0000_t202" style="position:absolute;left:374;top:9812;width:1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developmental results of achieving specific outcomes</w:t>
                        </w:r>
                      </w:p>
                    </w:txbxContent>
                  </v:textbox>
                </v:shape>
                <v:shape id="Text Box 19" o:spid="_x0000_s1042" type="#_x0000_t202" style="position:absolute;left:371;top:9819;width:1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medium-term results for specific beneficiaries that are the consequence of achieving specific outputs</w:t>
                        </w:r>
                      </w:p>
                    </w:txbxContent>
                  </v:textbox>
                </v:shape>
                <v:shape id="Text Box 20" o:spid="_x0000_s1043" type="#_x0000_t202" style="position:absolute;left:369;top:9825;width:1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final products, or goods and services produced for delivery</w:t>
                        </w:r>
                      </w:p>
                    </w:txbxContent>
                  </v:textbox>
                </v:shape>
                <v:shape id="Text Box 21" o:spid="_x0000_s1044" type="#_x0000_t202" style="position:absolute;left:366;top:9831;width:1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processes or actions that use a range of inputs to produce the desired outputs and ultimately outcomes</w:t>
                        </w:r>
                      </w:p>
                    </w:txbxContent>
                  </v:textbox>
                </v:shape>
                <v:shape id="Text Box 22" o:spid="_x0000_s1045" type="#_x0000_t202" style="position:absolute;left:366;top:9838;width:1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jc w:val="right"/>
                          <w:textAlignment w:val="baseline"/>
                          <w:rPr>
                            <w:sz w:val="24"/>
                            <w:szCs w:val="24"/>
                          </w:rPr>
                        </w:pPr>
                        <w:r>
                          <w:rPr>
                            <w:rFonts w:ascii="Arial" w:hAnsi="Arial" w:cstheme="minorBidi"/>
                            <w:color w:val="000000" w:themeColor="text1"/>
                            <w:kern w:val="24"/>
                            <w:lang w:val="en-GB"/>
                          </w:rPr>
                          <w:t>The resources that contribute to the production and delivery of outputs</w:t>
                        </w:r>
                      </w:p>
                    </w:txbxContent>
                  </v:textbox>
                </v:shape>
                <v:line id="Line 23" o:spid="_x0000_s1046" style="position:absolute;visibility:visible;mso-wrap-style:square" from="374,9825" to="390,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bEcIAAADcAAAADwAAAGRycy9kb3ducmV2LnhtbERPS4vCMBC+L/gfwgje1lQPulajiA/Y&#10;vbj4QD0OzdgWk0lpotZ/b4SFvc3H95zJrLFG3Kn2pWMFvW4CgjhzuuRcwWG//vwC4QOyRuOYFDzJ&#10;w2za+phgqt2Dt3TfhVzEEPYpKihCqFIpfVaQRd91FXHkLq62GCKsc6lrfMRwa2Q/SQbSYsmxocCK&#10;FgVl193NKliYS7k8n/zxmo/w+fPrzaZZ9ZTqtJv5GESgJvyL/9zfOs5PhvB+Jl4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nbEcIAAADcAAAADwAAAAAAAAAAAAAA&#10;AAChAgAAZHJzL2Rvd25yZXYueG1sUEsFBgAAAAAEAAQA+QAAAJADAAAAAA==&#10;" strokecolor="#39f"/>
                <v:line id="Line 24" o:spid="_x0000_s1047" style="position:absolute;visibility:visible;mso-wrap-style:square" from="368,9837" to="384,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PY8QAAADcAAAADwAAAGRycy9kb3ducmV2LnhtbESPQW/CMAyF75P4D5GRdhspHBArBISA&#10;SezCNDYBR6sxbUXiVE0G5d/PByRutt7ze59ni847daU21oENDAcZKOIi2JpLA78/H28TUDEhW3SB&#10;ycCdIizmvZcZ5jbc+Juu+1QqCeGYo4EqpSbXOhYVeYyD0BCLdg6txyRrW2rb4k3CvdOjLBtrjzVL&#10;Q4UNrSoqLvs/b2DlzvX6dIyHS/mO98+v6HbdZmjMa79bTkEl6tLT/LjeWsHPhFaekQn0/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9jxAAAANwAAAAPAAAAAAAAAAAA&#10;AAAAAKECAABkcnMvZG93bnJldi54bWxQSwUGAAAAAAQABAD5AAAAkgMAAAAA&#10;" strokecolor="#39f"/>
                <v:line id="Line 25" o:spid="_x0000_s1048" style="position:absolute;visibility:visible;mso-wrap-style:square" from="365,9844" to="381,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q+MIAAADcAAAADwAAAGRycy9kb3ducmV2LnhtbERPS4vCMBC+L+x/CLPgbZvqQbQaZfEB&#10;60Xxge5xaMa2mExKk9X6740geJuP7znjaWuNuFLjK8cKukkKgjh3uuJCwWG//B6A8AFZo3FMCu7k&#10;YTr5/Bhjpt2Nt3TdhULEEPYZKihDqDMpfV6SRZ+4mjhyZ9dYDBE2hdQN3mK4NbKXpn1pseLYUGJN&#10;s5Lyy+7fKpiZczX/O/njpRjifbXxZt0uukp1vtqfEYhAbXiLX+5fHeenQ3g+Ey+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rq+MIAAADcAAAADwAAAAAAAAAAAAAA&#10;AAChAgAAZHJzL2Rvd25yZXYueG1sUEsFBgAAAAAEAAQA+QAAAJADAAAAAA==&#10;" strokecolor="#39f"/>
                <v:line id="Line 26" o:spid="_x0000_s1049" style="position:absolute;visibility:visible;mso-wrap-style:square" from="377,9818" to="393,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VuMUAAADcAAAADwAAAGRycy9kb3ducmV2LnhtbESPQW/CMAyF70j8h8iTdoO0O0yjI6AJ&#10;Nmm7bKKgwdFqTFuROFWTQfn38wGJm633/N7n+XLwTp2pj21gA/k0A0VcBdtybWC3/Zi8gIoJ2aIL&#10;TAauFGG5GI/mWNhw4Q2dy1QrCeFYoIEmpa7QOlYNeYzT0BGLdgy9xyRrX2vb40XCvdNPWfasPbYs&#10;DQ12tGqoOpV/3sDKHdv1YR9/T/UMr18/0X0P77kxjw/D2yuoREO6m2/Xn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nVuMUAAADcAAAADwAAAAAAAAAA&#10;AAAAAAChAgAAZHJzL2Rvd25yZXYueG1sUEsFBgAAAAAEAAQA+QAAAJMDAAAAAA==&#10;" strokecolor="#39f"/>
                <v:line id="Line 27" o:spid="_x0000_s1050" style="position:absolute;visibility:visible;mso-wrap-style:square" from="371,9831" to="387,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wI8EAAADcAAAADwAAAGRycy9kb3ducmV2LnhtbERPTYvCMBC9L/gfwgh7W9N6ELcaRdQF&#10;96KsinocmrEtJpPSZLX+eyMI3ubxPmc8ba0RV2p85VhB2ktAEOdOV1wo2O9+voYgfEDWaByTgjt5&#10;mE46H2PMtLvxH123oRAxhH2GCsoQ6kxKn5dk0fdcTRy5s2sshgibQuoGbzHcGtlPkoG0WHFsKLGm&#10;eUn5ZftvFczNuVqcjv5wKb7x/rvxZt0uU6U+u+1sBCJQG97il3ul4/w0hecz8QI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XAjwQAAANwAAAAPAAAAAAAAAAAAAAAA&#10;AKECAABkcnMvZG93bnJldi54bWxQSwUGAAAAAAQABAD5AAAAjwMAAAAA&#10;" strokecolor="#39f"/>
                <v:shape id="Text Box 28" o:spid="_x0000_s1051" type="#_x0000_t202" style="position:absolute;left:365;top:9842;width:1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What we use to do the work?</w:t>
                        </w:r>
                      </w:p>
                    </w:txbxContent>
                  </v:textbox>
                </v:shape>
                <v:shape id="Text Box 29" o:spid="_x0000_s1052" type="#_x0000_t202" style="position:absolute;left:367;top:9835;width:1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do?</w:t>
                        </w:r>
                      </w:p>
                    </w:txbxContent>
                  </v:textbox>
                </v:shape>
                <v:shape id="Text Box 30" o:spid="_x0000_s1053" type="#_x0000_t202" style="position:absolute;left:370;top:9829;width:1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produce or deliver?</w:t>
                        </w:r>
                      </w:p>
                    </w:txbxContent>
                  </v:textbox>
                </v:shape>
                <v:shape id="Text Box 31" o:spid="_x0000_s1054" type="#_x0000_t202" style="position:absolute;left:373;top:9823;width:1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wish to achieve?</w:t>
                        </w:r>
                      </w:p>
                    </w:txbxContent>
                  </v:textbox>
                </v:shape>
                <v:shape id="Text Box 32" o:spid="_x0000_s1055" type="#_x0000_t202" style="position:absolute;left:376;top:9816;width:1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y78A&#10;AADcAAAADwAAAGRycy9kb3ducmV2LnhtbERPTWvCQBC9F/wPyxS81U0ERVJXkVrBgxc1vQ/ZaTY0&#10;OxuyUxP/vVsoeJvH+5z1dvStulEfm8AG8lkGirgKtuHaQHk9vK1ARUG22AYmA3eKsN1MXtZY2DDw&#10;mW4XqVUK4VigASfSFVrHypHHOAsdceK+Q+9REuxrbXscUrhv9TzLltpjw6nBYUcfjqqfy683IGJ3&#10;+b389PH4NZ72g8uqBZbGTF/H3TsooVGe4n/30ab5+RL+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BnLvwAAANwAAAAPAAAAAAAAAAAAAAAAAJgCAABkcnMvZG93bnJl&#10;di54bWxQSwUGAAAAAAQABAD1AAAAhAMAAAAA&#10;" filled="f" stroked="f">
                  <v:textbox style="mso-fit-shape-to-text:t">
                    <w:txbxContent>
                      <w:p w:rsidR="0082796F" w:rsidRDefault="0082796F" w:rsidP="00C91FAB">
                        <w:pPr>
                          <w:pStyle w:val="NormalWeb"/>
                          <w:kinsoku w:val="0"/>
                          <w:overflowPunct w:val="0"/>
                          <w:spacing w:before="144" w:beforeAutospacing="0" w:after="0" w:afterAutospacing="0"/>
                          <w:textAlignment w:val="baseline"/>
                          <w:rPr>
                            <w:sz w:val="24"/>
                            <w:szCs w:val="24"/>
                          </w:rPr>
                        </w:pPr>
                        <w:r>
                          <w:rPr>
                            <w:rFonts w:ascii="Arial" w:hAnsi="Arial" w:cstheme="minorBidi"/>
                            <w:b/>
                            <w:bCs/>
                            <w:color w:val="000000" w:themeColor="text1"/>
                            <w:kern w:val="24"/>
                            <w:lang w:val="en-GB"/>
                          </w:rPr>
                          <w:t xml:space="preserve"> What we aim to change?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56" type="#_x0000_t87" style="position:absolute;left:409;top:9824;width:1;height:20;rotation:27;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c1cQA&#10;AADcAAAADwAAAGRycy9kb3ducmV2LnhtbERPTWvCQBC9F/wPywje6iYetE1dRYVSpaA09tLbmB2T&#10;YHY2ZteY+utdodDbPN7nTOedqURLjSstK4iHEQjizOqScwXf+/fnFxDOI2usLJOCX3Iwn/Weppho&#10;e+UvalOfixDCLkEFhfd1IqXLCjLohrYmDtzRNgZ9gE0udYPXEG4qOYqisTRYcmgosKZVQdkpvRgF&#10;+8+fuP04b1717rA0m+04va0vpVKDfrd4A+Gp8//iP/dah/nxBB7PhA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03NXEAAAA3AAAAA8AAAAAAAAAAAAAAAAAmAIAAGRycy9k&#10;b3ducmV2LnhtbFBLBQYAAAAABAAEAPUAAACJAwAAAAA=&#10;" strokecolor="black [3213]" strokeweight="1pt"/>
                <v:shape id="AutoShape 34" o:spid="_x0000_s1057" type="#_x0000_t87" style="position:absolute;left:401;top:9810;width:1;height:16;rotation:27;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Ip8cA&#10;AADcAAAADwAAAGRycy9kb3ducmV2LnhtbESPQWvCQBCF7wX/wzIFb3UTD1JTV2kFqSK0NPbS25gd&#10;k9DsbJpdY9pf3zkI3mZ4b977ZrEaXKN66kLt2UA6SUARF97WXBr4PGweHkGFiGyx8UwGfinAajm6&#10;W2Bm/YU/qM9jqSSEQ4YGqhjbTOtQVOQwTHxLLNrJdw6jrF2pbYcXCXeNnibJTDusWRoqbGldUfGd&#10;n52Bw/4r7V9/dnP7fnxxu7dZ/rc918aM74fnJ1CRhngzX6+3VvBToZVnZA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rSKfHAAAA3AAAAA8AAAAAAAAAAAAAAAAAmAIAAGRy&#10;cy9kb3ducmV2LnhtbFBLBQYAAAAABAAEAPUAAACMAwAAAAA=&#10;" strokecolor="black [3213]" strokeweight="1pt"/>
                <v:shape id="Text Box 35" o:spid="_x0000_s1058" type="#_x0000_t202" style="position:absolute;left:410;top:983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82796F" w:rsidRDefault="0082796F" w:rsidP="00C91FAB">
                        <w:pPr>
                          <w:pStyle w:val="NormalWeb"/>
                          <w:kinsoku w:val="0"/>
                          <w:overflowPunct w:val="0"/>
                          <w:spacing w:before="168" w:beforeAutospacing="0" w:after="0" w:afterAutospacing="0"/>
                          <w:jc w:val="center"/>
                          <w:textAlignment w:val="baseline"/>
                          <w:rPr>
                            <w:sz w:val="24"/>
                            <w:szCs w:val="24"/>
                          </w:rPr>
                        </w:pPr>
                        <w:r>
                          <w:rPr>
                            <w:rFonts w:ascii="Arial" w:hAnsi="Arial" w:cstheme="minorBidi"/>
                            <w:b/>
                            <w:bCs/>
                            <w:color w:val="000000" w:themeColor="text1"/>
                            <w:kern w:val="24"/>
                            <w:sz w:val="28"/>
                            <w:szCs w:val="28"/>
                            <w:lang w:val="en-GB"/>
                          </w:rPr>
                          <w:t xml:space="preserve">Plan, budget, implement and monitor </w:t>
                        </w:r>
                      </w:p>
                    </w:txbxContent>
                  </v:textbox>
                </v:shape>
                <v:shape id="Text Box 36" o:spid="_x0000_s1059" type="#_x0000_t202" style="position:absolute;left:403;top:98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82796F" w:rsidRDefault="0082796F" w:rsidP="00C91FAB">
                        <w:pPr>
                          <w:pStyle w:val="NormalWeb"/>
                          <w:kinsoku w:val="0"/>
                          <w:overflowPunct w:val="0"/>
                          <w:spacing w:before="168" w:beforeAutospacing="0" w:after="0" w:afterAutospacing="0"/>
                          <w:jc w:val="center"/>
                          <w:textAlignment w:val="baseline"/>
                          <w:rPr>
                            <w:sz w:val="24"/>
                            <w:szCs w:val="24"/>
                          </w:rPr>
                        </w:pPr>
                        <w:r>
                          <w:rPr>
                            <w:rFonts w:ascii="Arial" w:hAnsi="Arial" w:cstheme="minorBidi"/>
                            <w:b/>
                            <w:bCs/>
                            <w:color w:val="000000" w:themeColor="text1"/>
                            <w:kern w:val="24"/>
                            <w:sz w:val="28"/>
                            <w:szCs w:val="28"/>
                            <w:lang w:val="en-GB"/>
                          </w:rPr>
                          <w:t>Manage towards achieving these results</w:t>
                        </w:r>
                      </w:p>
                    </w:txbxContent>
                  </v:textbox>
                </v:shape>
                <w10:anchorlock/>
              </v:group>
            </w:pict>
          </mc:Fallback>
        </mc:AlternateContent>
      </w:r>
    </w:p>
    <w:p w:rsidR="00807EC0" w:rsidRPr="00C8149B" w:rsidRDefault="00807EC0" w:rsidP="00654A78">
      <w:pPr>
        <w:spacing w:after="0" w:line="240" w:lineRule="auto"/>
        <w:jc w:val="both"/>
        <w:rPr>
          <w:rFonts w:ascii="Arial" w:hAnsi="Arial" w:cs="Arial"/>
          <w:b/>
        </w:rPr>
      </w:pPr>
    </w:p>
    <w:p w:rsidR="00F50396" w:rsidRPr="008D6BA7" w:rsidRDefault="00F50396" w:rsidP="00FF43F6">
      <w:pPr>
        <w:pStyle w:val="Heading3"/>
        <w:rPr>
          <w:rFonts w:ascii="Arial" w:hAnsi="Arial" w:cs="Arial"/>
          <w:color w:val="auto"/>
        </w:rPr>
      </w:pPr>
      <w:bookmarkStart w:id="111" w:name="_Toc286034109"/>
      <w:bookmarkStart w:id="112" w:name="_Toc286034700"/>
      <w:r w:rsidRPr="008D6BA7">
        <w:rPr>
          <w:rFonts w:ascii="Arial" w:hAnsi="Arial" w:cs="Arial"/>
          <w:color w:val="auto"/>
        </w:rPr>
        <w:t xml:space="preserve">Performance </w:t>
      </w:r>
      <w:r w:rsidR="00A84519">
        <w:rPr>
          <w:rFonts w:ascii="Arial" w:hAnsi="Arial" w:cs="Arial"/>
          <w:color w:val="auto"/>
        </w:rPr>
        <w:t>i</w:t>
      </w:r>
      <w:r w:rsidRPr="008D6BA7">
        <w:rPr>
          <w:rFonts w:ascii="Arial" w:hAnsi="Arial" w:cs="Arial"/>
          <w:color w:val="auto"/>
        </w:rPr>
        <w:t>ndicators and benchmarks</w:t>
      </w:r>
      <w:bookmarkEnd w:id="111"/>
      <w:bookmarkEnd w:id="112"/>
    </w:p>
    <w:p w:rsidR="00654A78" w:rsidRDefault="00654A78" w:rsidP="00FF43F6">
      <w:pPr>
        <w:keepNext/>
        <w:autoSpaceDE w:val="0"/>
        <w:autoSpaceDN w:val="0"/>
        <w:adjustRightInd w:val="0"/>
        <w:spacing w:after="0" w:line="240" w:lineRule="auto"/>
        <w:rPr>
          <w:rFonts w:ascii="Arial" w:eastAsia="Times New Roman" w:hAnsi="Arial" w:cs="Arial"/>
          <w:b/>
          <w:lang w:val="en-GB"/>
        </w:rPr>
      </w:pPr>
    </w:p>
    <w:p w:rsidR="009A7648" w:rsidRPr="00842C4F" w:rsidRDefault="00F4440B" w:rsidP="00842C4F">
      <w:pPr>
        <w:pStyle w:val="Heading4"/>
        <w:rPr>
          <w:rFonts w:ascii="Arial" w:eastAsia="Times New Roman" w:hAnsi="Arial" w:cs="Arial"/>
          <w:b w:val="0"/>
          <w:color w:val="auto"/>
          <w:lang w:val="en-GB"/>
        </w:rPr>
      </w:pPr>
      <w:r w:rsidRPr="00842C4F">
        <w:rPr>
          <w:rFonts w:ascii="Arial" w:eastAsia="Times New Roman" w:hAnsi="Arial" w:cs="Arial"/>
          <w:b w:val="0"/>
          <w:color w:val="auto"/>
          <w:lang w:val="en-GB"/>
        </w:rPr>
        <w:t>Borrowing Management</w:t>
      </w:r>
    </w:p>
    <w:p w:rsidR="009A7648" w:rsidRDefault="009A7648" w:rsidP="00654A78">
      <w:pPr>
        <w:autoSpaceDE w:val="0"/>
        <w:autoSpaceDN w:val="0"/>
        <w:adjustRightInd w:val="0"/>
        <w:spacing w:after="0" w:line="240" w:lineRule="auto"/>
        <w:jc w:val="both"/>
        <w:rPr>
          <w:rFonts w:ascii="Arial" w:eastAsia="Times New Roman" w:hAnsi="Arial" w:cs="Arial"/>
          <w:lang w:val="en-GB"/>
        </w:rPr>
      </w:pPr>
      <w:r w:rsidRPr="00654A78">
        <w:rPr>
          <w:rFonts w:ascii="Arial" w:eastAsia="Times New Roman" w:hAnsi="Arial" w:cs="Arial"/>
          <w:lang w:val="en-GB"/>
        </w:rPr>
        <w:t xml:space="preserve">Capital expenditure in local government can be funded by capital grants, own-source revenue and long term borrowing. </w:t>
      </w:r>
      <w:r w:rsidR="007B7B00">
        <w:rPr>
          <w:rFonts w:ascii="Arial" w:eastAsia="Times New Roman" w:hAnsi="Arial" w:cs="Arial"/>
          <w:lang w:val="en-GB"/>
        </w:rPr>
        <w:t xml:space="preserve"> </w:t>
      </w:r>
      <w:r w:rsidRPr="00654A78">
        <w:rPr>
          <w:rFonts w:ascii="Arial" w:eastAsia="Times New Roman" w:hAnsi="Arial" w:cs="Arial"/>
          <w:lang w:val="en-GB"/>
        </w:rPr>
        <w:t xml:space="preserve">The ability of a municipality to raise long term borrowing is largely dependent on its creditworthiness and financial position. </w:t>
      </w:r>
      <w:r w:rsidR="007B7B00">
        <w:rPr>
          <w:rFonts w:ascii="Arial" w:eastAsia="Times New Roman" w:hAnsi="Arial" w:cs="Arial"/>
          <w:lang w:val="en-GB"/>
        </w:rPr>
        <w:t xml:space="preserve"> </w:t>
      </w:r>
      <w:r w:rsidRPr="00654A78">
        <w:rPr>
          <w:rFonts w:ascii="Arial" w:eastAsia="Times New Roman" w:hAnsi="Arial" w:cs="Arial"/>
          <w:lang w:val="en-GB"/>
        </w:rPr>
        <w:t xml:space="preserve">As with all other </w:t>
      </w:r>
      <w:r w:rsidR="006D34F8">
        <w:rPr>
          <w:rFonts w:ascii="Arial" w:eastAsia="Times New Roman" w:hAnsi="Arial" w:cs="Arial"/>
          <w:lang w:val="en-GB"/>
        </w:rPr>
        <w:t>municipalities</w:t>
      </w:r>
      <w:r w:rsidRPr="00654A78">
        <w:rPr>
          <w:rFonts w:ascii="Arial" w:eastAsia="Times New Roman" w:hAnsi="Arial" w:cs="Arial"/>
          <w:lang w:val="en-GB"/>
        </w:rPr>
        <w:t xml:space="preserve">, </w:t>
      </w:r>
      <w:proofErr w:type="spellStart"/>
      <w:r w:rsidR="002968BB">
        <w:rPr>
          <w:rFonts w:ascii="Arial" w:eastAsia="Times New Roman" w:hAnsi="Arial" w:cs="Arial"/>
          <w:lang w:val="en-GB"/>
        </w:rPr>
        <w:t>Inkosi</w:t>
      </w:r>
      <w:proofErr w:type="spellEnd"/>
      <w:r w:rsidR="002968BB">
        <w:rPr>
          <w:rFonts w:ascii="Arial" w:eastAsia="Times New Roman" w:hAnsi="Arial" w:cs="Arial"/>
          <w:lang w:val="en-GB"/>
        </w:rPr>
        <w:t xml:space="preserve"> Langalibalele</w:t>
      </w:r>
      <w:r w:rsidR="004B2897">
        <w:rPr>
          <w:rFonts w:ascii="Arial" w:eastAsia="Times New Roman" w:hAnsi="Arial" w:cs="Arial"/>
          <w:lang w:val="en-GB"/>
        </w:rPr>
        <w:t xml:space="preserve"> Municipality’s</w:t>
      </w:r>
      <w:r w:rsidRPr="00654A78">
        <w:rPr>
          <w:rFonts w:ascii="Arial" w:eastAsia="Times New Roman" w:hAnsi="Arial" w:cs="Arial"/>
          <w:lang w:val="en-GB"/>
        </w:rPr>
        <w:t xml:space="preserve"> borrowing strategy is primarily informed by the affordability of debt repayments. </w:t>
      </w:r>
      <w:r w:rsidR="007B7B00">
        <w:rPr>
          <w:rFonts w:ascii="Arial" w:eastAsia="Times New Roman" w:hAnsi="Arial" w:cs="Arial"/>
          <w:lang w:val="en-GB"/>
        </w:rPr>
        <w:t xml:space="preserve"> </w:t>
      </w:r>
      <w:r w:rsidRPr="00654A78">
        <w:rPr>
          <w:rFonts w:ascii="Arial" w:eastAsia="Times New Roman" w:hAnsi="Arial" w:cs="Arial"/>
          <w:lang w:val="en-GB"/>
        </w:rPr>
        <w:t>The structure of</w:t>
      </w:r>
      <w:r w:rsidR="004B2897">
        <w:rPr>
          <w:rFonts w:ascii="Arial" w:eastAsia="Times New Roman" w:hAnsi="Arial" w:cs="Arial"/>
          <w:lang w:val="en-GB"/>
        </w:rPr>
        <w:t xml:space="preserve"> the municipality’s</w:t>
      </w:r>
      <w:r w:rsidR="006D34F8">
        <w:rPr>
          <w:rFonts w:ascii="Arial" w:eastAsia="Times New Roman" w:hAnsi="Arial" w:cs="Arial"/>
          <w:lang w:val="en-GB"/>
        </w:rPr>
        <w:t xml:space="preserve"> </w:t>
      </w:r>
      <w:r w:rsidRPr="00654A78">
        <w:rPr>
          <w:rFonts w:ascii="Arial" w:eastAsia="Times New Roman" w:hAnsi="Arial" w:cs="Arial"/>
          <w:lang w:val="en-GB"/>
        </w:rPr>
        <w:t>debt portfolio is dominated by annuity loans</w:t>
      </w:r>
      <w:r w:rsidR="00000348" w:rsidRPr="00654A78">
        <w:rPr>
          <w:rFonts w:ascii="Arial" w:eastAsia="Times New Roman" w:hAnsi="Arial" w:cs="Arial"/>
          <w:lang w:val="en-GB"/>
        </w:rPr>
        <w:t xml:space="preserve">. </w:t>
      </w:r>
      <w:r w:rsidR="007B7B00">
        <w:rPr>
          <w:rFonts w:ascii="Arial" w:eastAsia="Times New Roman" w:hAnsi="Arial" w:cs="Arial"/>
          <w:lang w:val="en-GB"/>
        </w:rPr>
        <w:t xml:space="preserve"> </w:t>
      </w:r>
      <w:r w:rsidR="00000348" w:rsidRPr="00654A78">
        <w:rPr>
          <w:rFonts w:ascii="Arial" w:eastAsia="Times New Roman" w:hAnsi="Arial" w:cs="Arial"/>
          <w:lang w:val="en-GB"/>
        </w:rPr>
        <w:t>The following financial performance indicators have formed part of the com</w:t>
      </w:r>
      <w:r w:rsidR="004B2897">
        <w:rPr>
          <w:rFonts w:ascii="Arial" w:eastAsia="Times New Roman" w:hAnsi="Arial" w:cs="Arial"/>
          <w:lang w:val="en-GB"/>
        </w:rPr>
        <w:t xml:space="preserve">pilation of the </w:t>
      </w:r>
      <w:r w:rsidR="001143B3">
        <w:rPr>
          <w:rFonts w:ascii="Arial" w:eastAsia="Times New Roman" w:hAnsi="Arial" w:cs="Arial"/>
          <w:lang w:val="en-GB"/>
        </w:rPr>
        <w:t>2018/19</w:t>
      </w:r>
      <w:r w:rsidR="00000348" w:rsidRPr="00654A78">
        <w:rPr>
          <w:rFonts w:ascii="Arial" w:eastAsia="Times New Roman" w:hAnsi="Arial" w:cs="Arial"/>
          <w:lang w:val="en-GB"/>
        </w:rPr>
        <w:t xml:space="preserve"> MTREF:</w:t>
      </w:r>
    </w:p>
    <w:p w:rsidR="00654A78" w:rsidRDefault="00654A78" w:rsidP="00FA0F8A">
      <w:pPr>
        <w:spacing w:after="0" w:line="240" w:lineRule="auto"/>
        <w:jc w:val="both"/>
        <w:rPr>
          <w:rFonts w:ascii="Arial" w:hAnsi="Arial" w:cs="Arial"/>
        </w:rPr>
      </w:pPr>
    </w:p>
    <w:p w:rsidR="00743765" w:rsidRPr="00A73F84" w:rsidRDefault="00743765" w:rsidP="00743765">
      <w:pPr>
        <w:spacing w:after="0" w:line="240" w:lineRule="auto"/>
        <w:ind w:left="709"/>
        <w:jc w:val="both"/>
        <w:rPr>
          <w:rFonts w:ascii="Arial" w:hAnsi="Arial" w:cs="Arial"/>
        </w:rPr>
      </w:pPr>
    </w:p>
    <w:p w:rsidR="00654A78" w:rsidRDefault="0028753C" w:rsidP="00E50C0E">
      <w:pPr>
        <w:numPr>
          <w:ilvl w:val="0"/>
          <w:numId w:val="5"/>
        </w:numPr>
        <w:tabs>
          <w:tab w:val="clear" w:pos="720"/>
          <w:tab w:val="num" w:pos="1418"/>
        </w:tabs>
        <w:spacing w:after="0" w:line="240" w:lineRule="auto"/>
        <w:ind w:left="709" w:hanging="709"/>
        <w:jc w:val="both"/>
        <w:rPr>
          <w:rFonts w:ascii="Arial" w:hAnsi="Arial" w:cs="Arial"/>
        </w:rPr>
      </w:pPr>
      <w:r w:rsidRPr="00743765">
        <w:rPr>
          <w:rFonts w:ascii="Arial" w:hAnsi="Arial" w:cs="Arial"/>
          <w:i/>
        </w:rPr>
        <w:t>Capital c</w:t>
      </w:r>
      <w:r w:rsidR="00BA1C96" w:rsidRPr="00743765">
        <w:rPr>
          <w:rFonts w:ascii="Arial" w:hAnsi="Arial" w:cs="Arial"/>
          <w:i/>
        </w:rPr>
        <w:t>harges to operating expenditure</w:t>
      </w:r>
      <w:r w:rsidR="00BA1C96" w:rsidRPr="00A73F84">
        <w:rPr>
          <w:rFonts w:ascii="Arial" w:hAnsi="Arial" w:cs="Arial"/>
        </w:rPr>
        <w:t xml:space="preserve"> is a measure of</w:t>
      </w:r>
      <w:r w:rsidR="006D34F8">
        <w:rPr>
          <w:rFonts w:ascii="Arial" w:hAnsi="Arial" w:cs="Arial"/>
        </w:rPr>
        <w:t xml:space="preserve"> the</w:t>
      </w:r>
      <w:r w:rsidR="00BA1C96" w:rsidRPr="00A73F84">
        <w:rPr>
          <w:rFonts w:ascii="Arial" w:hAnsi="Arial" w:cs="Arial"/>
        </w:rPr>
        <w:t xml:space="preserve"> cost of borrowing in relation to the operating expenditure. It can be seen that the cost of borrowi</w:t>
      </w:r>
      <w:r w:rsidR="004B2897">
        <w:rPr>
          <w:rFonts w:ascii="Arial" w:hAnsi="Arial" w:cs="Arial"/>
        </w:rPr>
        <w:t xml:space="preserve">ng </w:t>
      </w:r>
      <w:r w:rsidR="00342ED1">
        <w:rPr>
          <w:rFonts w:ascii="Arial" w:hAnsi="Arial" w:cs="Arial"/>
        </w:rPr>
        <w:t>has steadily decreased from 1.56</w:t>
      </w:r>
      <w:r w:rsidR="00BA1C96" w:rsidRPr="00A73F84">
        <w:rPr>
          <w:rFonts w:ascii="Arial" w:hAnsi="Arial" w:cs="Arial"/>
        </w:rPr>
        <w:t xml:space="preserve"> per cent in</w:t>
      </w:r>
      <w:r w:rsidR="004454A3">
        <w:rPr>
          <w:rFonts w:ascii="Arial" w:hAnsi="Arial" w:cs="Arial"/>
        </w:rPr>
        <w:t xml:space="preserve"> 2018/19</w:t>
      </w:r>
      <w:r w:rsidR="00342ED1">
        <w:rPr>
          <w:rFonts w:ascii="Arial" w:hAnsi="Arial" w:cs="Arial"/>
        </w:rPr>
        <w:t xml:space="preserve"> to 1.1</w:t>
      </w:r>
      <w:r w:rsidR="004B2897">
        <w:rPr>
          <w:rFonts w:ascii="Arial" w:hAnsi="Arial" w:cs="Arial"/>
        </w:rPr>
        <w:t xml:space="preserve">per cent in </w:t>
      </w:r>
      <w:r w:rsidR="004454A3">
        <w:rPr>
          <w:rFonts w:ascii="Arial" w:hAnsi="Arial" w:cs="Arial"/>
        </w:rPr>
        <w:t>2019/20</w:t>
      </w:r>
      <w:r w:rsidR="00BA1C96" w:rsidRPr="00A73F84">
        <w:rPr>
          <w:rFonts w:ascii="Arial" w:hAnsi="Arial" w:cs="Arial"/>
        </w:rPr>
        <w:t>.</w:t>
      </w:r>
      <w:r w:rsidR="00743765">
        <w:rPr>
          <w:rFonts w:ascii="Arial" w:hAnsi="Arial" w:cs="Arial"/>
        </w:rPr>
        <w:t xml:space="preserve"> </w:t>
      </w:r>
      <w:r w:rsidR="00342ED1">
        <w:rPr>
          <w:rFonts w:ascii="Arial" w:hAnsi="Arial" w:cs="Arial"/>
        </w:rPr>
        <w:t xml:space="preserve"> </w:t>
      </w:r>
      <w:r w:rsidR="00BA1C96" w:rsidRPr="00A73F84">
        <w:rPr>
          <w:rFonts w:ascii="Arial" w:hAnsi="Arial" w:cs="Arial"/>
        </w:rPr>
        <w:t>It is estimated that the cost of borrowing as a percentage of the operating expenditure wi</w:t>
      </w:r>
      <w:r w:rsidR="004454A3">
        <w:rPr>
          <w:rFonts w:ascii="Arial" w:hAnsi="Arial" w:cs="Arial"/>
        </w:rPr>
        <w:t>ll reach 1.2 per cent in 2019/20</w:t>
      </w:r>
      <w:r w:rsidR="00342ED1">
        <w:rPr>
          <w:rFonts w:ascii="Arial" w:hAnsi="Arial" w:cs="Arial"/>
        </w:rPr>
        <w:t xml:space="preserve"> </w:t>
      </w:r>
      <w:r>
        <w:rPr>
          <w:rFonts w:ascii="Arial" w:hAnsi="Arial" w:cs="Arial"/>
        </w:rPr>
        <w:t>While</w:t>
      </w:r>
      <w:r w:rsidR="00BA1C96" w:rsidRPr="00A73F84">
        <w:rPr>
          <w:rFonts w:ascii="Arial" w:hAnsi="Arial" w:cs="Arial"/>
        </w:rPr>
        <w:t xml:space="preserve"> borrowing is considered a prudent financial instrument in financing capital infrastructure development, this indicator will have to be carefully mon</w:t>
      </w:r>
      <w:r w:rsidR="004B2897">
        <w:rPr>
          <w:rFonts w:ascii="Arial" w:hAnsi="Arial" w:cs="Arial"/>
        </w:rPr>
        <w:t>itored going forward as the municipality</w:t>
      </w:r>
      <w:r w:rsidR="00BA1C96" w:rsidRPr="00A73F84">
        <w:rPr>
          <w:rFonts w:ascii="Arial" w:hAnsi="Arial" w:cs="Arial"/>
        </w:rPr>
        <w:t xml:space="preserve"> has reached its prudential borrowing limits.</w:t>
      </w:r>
    </w:p>
    <w:p w:rsidR="00743765" w:rsidRPr="00A73F84" w:rsidRDefault="00743765" w:rsidP="00743765">
      <w:pPr>
        <w:spacing w:after="0" w:line="240" w:lineRule="auto"/>
        <w:jc w:val="both"/>
        <w:rPr>
          <w:rFonts w:ascii="Arial" w:hAnsi="Arial" w:cs="Arial"/>
        </w:rPr>
      </w:pPr>
    </w:p>
    <w:p w:rsidR="00F4440B" w:rsidRPr="00A73F84" w:rsidRDefault="00F4440B" w:rsidP="004B2897">
      <w:pPr>
        <w:spacing w:after="0" w:line="240" w:lineRule="auto"/>
        <w:ind w:left="709"/>
        <w:jc w:val="both"/>
        <w:rPr>
          <w:rFonts w:ascii="Arial" w:hAnsi="Arial" w:cs="Arial"/>
        </w:rPr>
      </w:pPr>
    </w:p>
    <w:p w:rsidR="00654A78" w:rsidRPr="00654A78" w:rsidRDefault="00654A78" w:rsidP="00654A78">
      <w:pPr>
        <w:pStyle w:val="ListParagraph"/>
        <w:autoSpaceDE w:val="0"/>
        <w:autoSpaceDN w:val="0"/>
        <w:adjustRightInd w:val="0"/>
        <w:spacing w:after="0" w:line="240" w:lineRule="auto"/>
        <w:ind w:left="360"/>
        <w:jc w:val="both"/>
        <w:rPr>
          <w:rFonts w:ascii="Arial" w:eastAsia="Times New Roman" w:hAnsi="Arial" w:cs="Arial"/>
          <w:lang w:val="en-GB"/>
        </w:rPr>
      </w:pPr>
    </w:p>
    <w:p w:rsidR="00654A78" w:rsidRDefault="004B2897" w:rsidP="00654A78">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The municipality’s</w:t>
      </w:r>
      <w:r w:rsidR="00000348" w:rsidRPr="00654A78">
        <w:rPr>
          <w:rFonts w:ascii="Arial" w:eastAsia="Times New Roman" w:hAnsi="Arial" w:cs="Arial"/>
          <w:lang w:val="en-GB"/>
        </w:rPr>
        <w:t xml:space="preserve"> debt profile provides some in</w:t>
      </w:r>
      <w:r>
        <w:rPr>
          <w:rFonts w:ascii="Arial" w:eastAsia="Times New Roman" w:hAnsi="Arial" w:cs="Arial"/>
          <w:lang w:val="en-GB"/>
        </w:rPr>
        <w:t>teresting insights on the municipality’s</w:t>
      </w:r>
      <w:r w:rsidR="00000348" w:rsidRPr="00654A78">
        <w:rPr>
          <w:rFonts w:ascii="Arial" w:eastAsia="Times New Roman" w:hAnsi="Arial" w:cs="Arial"/>
          <w:lang w:val="en-GB"/>
        </w:rPr>
        <w:t xml:space="preserve"> future borrowing capacity. </w:t>
      </w:r>
      <w:r w:rsidR="00C37A36">
        <w:rPr>
          <w:rFonts w:ascii="Arial" w:eastAsia="Times New Roman" w:hAnsi="Arial" w:cs="Arial"/>
          <w:lang w:val="en-GB"/>
        </w:rPr>
        <w:t xml:space="preserve"> </w:t>
      </w:r>
      <w:r w:rsidR="00000348" w:rsidRPr="00654A78">
        <w:rPr>
          <w:rFonts w:ascii="Arial" w:eastAsia="Times New Roman" w:hAnsi="Arial" w:cs="Arial"/>
          <w:lang w:val="en-GB"/>
        </w:rPr>
        <w:t>Firstly, the use of amortising loans leads to high debt service costs at the beginning of the loan, which declines steadily towards the end of the loan’s term.</w:t>
      </w:r>
    </w:p>
    <w:p w:rsidR="00654A78" w:rsidRDefault="00654A78" w:rsidP="00654A78">
      <w:pPr>
        <w:autoSpaceDE w:val="0"/>
        <w:autoSpaceDN w:val="0"/>
        <w:adjustRightInd w:val="0"/>
        <w:spacing w:after="0" w:line="240" w:lineRule="auto"/>
        <w:jc w:val="both"/>
        <w:rPr>
          <w:rFonts w:ascii="Arial" w:eastAsia="Times New Roman" w:hAnsi="Arial" w:cs="Arial"/>
          <w:lang w:val="en-GB"/>
        </w:rPr>
      </w:pPr>
    </w:p>
    <w:p w:rsidR="00654A78" w:rsidRDefault="00654A78" w:rsidP="00654A78">
      <w:pPr>
        <w:autoSpaceDE w:val="0"/>
        <w:autoSpaceDN w:val="0"/>
        <w:adjustRightInd w:val="0"/>
        <w:spacing w:after="0" w:line="240" w:lineRule="auto"/>
        <w:jc w:val="both"/>
        <w:rPr>
          <w:rFonts w:ascii="Arial" w:eastAsia="Times New Roman" w:hAnsi="Arial" w:cs="Arial"/>
          <w:lang w:val="en-GB"/>
        </w:rPr>
      </w:pPr>
    </w:p>
    <w:p w:rsidR="00000348" w:rsidRDefault="00000348" w:rsidP="00654A78">
      <w:pPr>
        <w:autoSpaceDE w:val="0"/>
        <w:autoSpaceDN w:val="0"/>
        <w:adjustRightInd w:val="0"/>
        <w:spacing w:after="0" w:line="240" w:lineRule="auto"/>
        <w:jc w:val="both"/>
        <w:rPr>
          <w:rFonts w:ascii="Arial" w:eastAsia="Times New Roman" w:hAnsi="Arial" w:cs="Arial"/>
          <w:lang w:val="en-GB"/>
        </w:rPr>
      </w:pPr>
      <w:r w:rsidRPr="00654A78">
        <w:rPr>
          <w:rFonts w:ascii="Arial" w:eastAsia="Times New Roman" w:hAnsi="Arial" w:cs="Arial"/>
          <w:lang w:val="en-GB"/>
        </w:rPr>
        <w:t xml:space="preserve">In summary, </w:t>
      </w:r>
      <w:r w:rsidR="00BA4FB8">
        <w:rPr>
          <w:rFonts w:ascii="Arial" w:eastAsia="Times New Roman" w:hAnsi="Arial" w:cs="Arial"/>
          <w:lang w:val="en-GB"/>
        </w:rPr>
        <w:t>various financial risks</w:t>
      </w:r>
      <w:r w:rsidRPr="00654A78">
        <w:rPr>
          <w:rFonts w:ascii="Arial" w:eastAsia="Times New Roman" w:hAnsi="Arial" w:cs="Arial"/>
          <w:lang w:val="en-GB"/>
        </w:rPr>
        <w:t xml:space="preserve"> could have a negative impact on </w:t>
      </w:r>
      <w:r w:rsidR="00BA4FB8">
        <w:rPr>
          <w:rFonts w:ascii="Arial" w:eastAsia="Times New Roman" w:hAnsi="Arial" w:cs="Arial"/>
          <w:lang w:val="en-GB"/>
        </w:rPr>
        <w:t>the future borrowing c</w:t>
      </w:r>
      <w:r w:rsidRPr="00654A78">
        <w:rPr>
          <w:rFonts w:ascii="Arial" w:eastAsia="Times New Roman" w:hAnsi="Arial" w:cs="Arial"/>
          <w:lang w:val="en-GB"/>
        </w:rPr>
        <w:t>apacity</w:t>
      </w:r>
      <w:r w:rsidR="00BA4FB8">
        <w:rPr>
          <w:rFonts w:ascii="Arial" w:eastAsia="Times New Roman" w:hAnsi="Arial" w:cs="Arial"/>
          <w:lang w:val="en-GB"/>
        </w:rPr>
        <w:t xml:space="preserve"> of the municipality</w:t>
      </w:r>
      <w:r w:rsidRPr="00654A78">
        <w:rPr>
          <w:rFonts w:ascii="Arial" w:eastAsia="Times New Roman" w:hAnsi="Arial" w:cs="Arial"/>
          <w:lang w:val="en-GB"/>
        </w:rPr>
        <w:t xml:space="preserve">. </w:t>
      </w:r>
      <w:r w:rsidR="00C37A36">
        <w:rPr>
          <w:rFonts w:ascii="Arial" w:eastAsia="Times New Roman" w:hAnsi="Arial" w:cs="Arial"/>
          <w:lang w:val="en-GB"/>
        </w:rPr>
        <w:t xml:space="preserve"> </w:t>
      </w:r>
      <w:r w:rsidRPr="00654A78">
        <w:rPr>
          <w:rFonts w:ascii="Arial" w:eastAsia="Times New Roman" w:hAnsi="Arial" w:cs="Arial"/>
          <w:lang w:val="en-GB"/>
        </w:rPr>
        <w:t>In particular, the c</w:t>
      </w:r>
      <w:r w:rsidR="00F60825">
        <w:rPr>
          <w:rFonts w:ascii="Arial" w:eastAsia="Times New Roman" w:hAnsi="Arial" w:cs="Arial"/>
          <w:lang w:val="en-GB"/>
        </w:rPr>
        <w:t>ontinued ability of the municipality</w:t>
      </w:r>
      <w:r w:rsidRPr="00654A78">
        <w:rPr>
          <w:rFonts w:ascii="Arial" w:eastAsia="Times New Roman" w:hAnsi="Arial" w:cs="Arial"/>
          <w:lang w:val="en-GB"/>
        </w:rPr>
        <w:t xml:space="preserve"> to meet its revenue targets and ensure its forecasted cash flow targets are achieved will be critical in meeting the repayments of the debt service costs. </w:t>
      </w:r>
      <w:r w:rsidR="00C37A36">
        <w:rPr>
          <w:rFonts w:ascii="Arial" w:eastAsia="Times New Roman" w:hAnsi="Arial" w:cs="Arial"/>
          <w:lang w:val="en-GB"/>
        </w:rPr>
        <w:t xml:space="preserve"> </w:t>
      </w:r>
      <w:r w:rsidRPr="00654A78">
        <w:rPr>
          <w:rFonts w:ascii="Arial" w:eastAsia="Times New Roman" w:hAnsi="Arial" w:cs="Arial"/>
          <w:lang w:val="en-GB"/>
        </w:rPr>
        <w:t xml:space="preserve">As part of the compilation of the </w:t>
      </w:r>
      <w:r w:rsidR="004454A3">
        <w:rPr>
          <w:rFonts w:ascii="Arial" w:eastAsia="Times New Roman" w:hAnsi="Arial" w:cs="Arial"/>
          <w:lang w:val="en-GB"/>
        </w:rPr>
        <w:t>2019/20</w:t>
      </w:r>
      <w:r w:rsidRPr="00654A78">
        <w:rPr>
          <w:rFonts w:ascii="Arial" w:eastAsia="Times New Roman" w:hAnsi="Arial" w:cs="Arial"/>
          <w:lang w:val="en-GB"/>
        </w:rPr>
        <w:t xml:space="preserve"> MTREF the potential of smoothing out the debt profile over the long</w:t>
      </w:r>
      <w:r w:rsidR="00BA4FB8">
        <w:rPr>
          <w:rFonts w:ascii="Arial" w:eastAsia="Times New Roman" w:hAnsi="Arial" w:cs="Arial"/>
          <w:lang w:val="en-GB"/>
        </w:rPr>
        <w:t>er</w:t>
      </w:r>
      <w:r w:rsidRPr="00654A78">
        <w:rPr>
          <w:rFonts w:ascii="Arial" w:eastAsia="Times New Roman" w:hAnsi="Arial" w:cs="Arial"/>
          <w:lang w:val="en-GB"/>
        </w:rPr>
        <w:t xml:space="preserve"> term will be investigated.</w:t>
      </w:r>
    </w:p>
    <w:p w:rsidR="00654A78" w:rsidRPr="00654A78" w:rsidRDefault="00654A78" w:rsidP="00654A78">
      <w:pPr>
        <w:autoSpaceDE w:val="0"/>
        <w:autoSpaceDN w:val="0"/>
        <w:adjustRightInd w:val="0"/>
        <w:spacing w:after="0" w:line="240" w:lineRule="auto"/>
        <w:jc w:val="both"/>
        <w:rPr>
          <w:rFonts w:ascii="Arial" w:eastAsia="Times New Roman" w:hAnsi="Arial" w:cs="Arial"/>
          <w:lang w:val="en-GB"/>
        </w:rPr>
      </w:pPr>
    </w:p>
    <w:p w:rsidR="00654A78" w:rsidRPr="00654A78" w:rsidRDefault="00654A78" w:rsidP="00654A78">
      <w:pPr>
        <w:autoSpaceDE w:val="0"/>
        <w:autoSpaceDN w:val="0"/>
        <w:adjustRightInd w:val="0"/>
        <w:spacing w:after="0" w:line="240" w:lineRule="auto"/>
        <w:jc w:val="both"/>
        <w:rPr>
          <w:rFonts w:ascii="Arial" w:eastAsia="Times New Roman" w:hAnsi="Arial" w:cs="Arial"/>
          <w:lang w:val="en-GB"/>
        </w:rPr>
      </w:pPr>
    </w:p>
    <w:p w:rsidR="00654A78" w:rsidRPr="00654A78" w:rsidRDefault="00654A78" w:rsidP="00654A78">
      <w:pPr>
        <w:autoSpaceDE w:val="0"/>
        <w:autoSpaceDN w:val="0"/>
        <w:adjustRightInd w:val="0"/>
        <w:spacing w:after="0" w:line="240" w:lineRule="auto"/>
        <w:jc w:val="both"/>
        <w:rPr>
          <w:rFonts w:ascii="Arial" w:eastAsia="Times New Roman" w:hAnsi="Arial" w:cs="Arial"/>
          <w:lang w:val="en-GB"/>
        </w:rPr>
      </w:pPr>
    </w:p>
    <w:p w:rsidR="00750F06" w:rsidRPr="00842C4F" w:rsidRDefault="00750F06" w:rsidP="00842C4F">
      <w:pPr>
        <w:pStyle w:val="Heading4"/>
        <w:rPr>
          <w:rFonts w:ascii="Arial" w:eastAsia="Times New Roman" w:hAnsi="Arial" w:cs="Arial"/>
          <w:b w:val="0"/>
          <w:color w:val="auto"/>
          <w:lang w:val="en-GB"/>
        </w:rPr>
      </w:pPr>
      <w:r w:rsidRPr="00842C4F">
        <w:rPr>
          <w:rFonts w:ascii="Arial" w:eastAsia="Times New Roman" w:hAnsi="Arial" w:cs="Arial"/>
          <w:b w:val="0"/>
          <w:color w:val="auto"/>
          <w:lang w:val="en-GB"/>
        </w:rPr>
        <w:t>Revenue Management</w:t>
      </w:r>
    </w:p>
    <w:p w:rsidR="00750F06" w:rsidRPr="00A73F84" w:rsidRDefault="00E92470"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As part of the financial sustainability strategy, an aggressive revenue management framework has been implemented to increase cash inflow, not only from current billings but also from debtors that are in arrears in excess of 90 days.</w:t>
      </w:r>
      <w:r w:rsidR="00C37A36">
        <w:rPr>
          <w:rFonts w:ascii="Arial" w:hAnsi="Arial" w:cs="Arial"/>
        </w:rPr>
        <w:t xml:space="preserve"> </w:t>
      </w:r>
      <w:r w:rsidRPr="00A73F84">
        <w:rPr>
          <w:rFonts w:ascii="Arial" w:hAnsi="Arial" w:cs="Arial"/>
        </w:rPr>
        <w:t xml:space="preserve"> The intention of the strategy</w:t>
      </w:r>
      <w:r w:rsidR="00BA4FB8">
        <w:rPr>
          <w:rFonts w:ascii="Arial" w:hAnsi="Arial" w:cs="Arial"/>
        </w:rPr>
        <w:t xml:space="preserve"> is to</w:t>
      </w:r>
      <w:r w:rsidRPr="00A73F84">
        <w:rPr>
          <w:rFonts w:ascii="Arial" w:hAnsi="Arial" w:cs="Arial"/>
        </w:rPr>
        <w:t xml:space="preserve"> streamline the revenue value chain by ensuring accurate billing, customer service, </w:t>
      </w:r>
      <w:proofErr w:type="gramStart"/>
      <w:r w:rsidRPr="00A73F84">
        <w:rPr>
          <w:rFonts w:ascii="Arial" w:hAnsi="Arial" w:cs="Arial"/>
        </w:rPr>
        <w:t>credit</w:t>
      </w:r>
      <w:proofErr w:type="gramEnd"/>
      <w:r w:rsidRPr="00A73F84">
        <w:rPr>
          <w:rFonts w:ascii="Arial" w:hAnsi="Arial" w:cs="Arial"/>
        </w:rPr>
        <w:t xml:space="preserve"> control and debt collection.</w:t>
      </w:r>
    </w:p>
    <w:p w:rsidR="00654A78" w:rsidRPr="00654A78" w:rsidRDefault="00654A78" w:rsidP="00654A78">
      <w:pPr>
        <w:autoSpaceDE w:val="0"/>
        <w:autoSpaceDN w:val="0"/>
        <w:adjustRightInd w:val="0"/>
        <w:spacing w:after="0" w:line="240" w:lineRule="auto"/>
        <w:jc w:val="both"/>
        <w:rPr>
          <w:rFonts w:ascii="Arial" w:eastAsia="Times New Roman" w:hAnsi="Arial" w:cs="Arial"/>
          <w:b/>
          <w:lang w:val="en-GB"/>
        </w:rPr>
      </w:pPr>
    </w:p>
    <w:p w:rsidR="00E92470" w:rsidRPr="00842C4F" w:rsidRDefault="00E92470" w:rsidP="00842C4F">
      <w:pPr>
        <w:pStyle w:val="Heading4"/>
        <w:rPr>
          <w:rFonts w:ascii="Arial" w:eastAsia="Times New Roman" w:hAnsi="Arial" w:cs="Arial"/>
          <w:b w:val="0"/>
          <w:color w:val="auto"/>
          <w:lang w:val="en-GB"/>
        </w:rPr>
      </w:pPr>
      <w:r w:rsidRPr="00842C4F">
        <w:rPr>
          <w:rFonts w:ascii="Arial" w:eastAsia="Times New Roman" w:hAnsi="Arial" w:cs="Arial"/>
          <w:b w:val="0"/>
          <w:color w:val="auto"/>
          <w:lang w:val="en-GB"/>
        </w:rPr>
        <w:t>Creditors Management</w:t>
      </w:r>
    </w:p>
    <w:p w:rsidR="00750F06" w:rsidRPr="00A73F84" w:rsidRDefault="00F60825"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The municipality</w:t>
      </w:r>
      <w:r w:rsidR="00E92470" w:rsidRPr="00A73F84">
        <w:rPr>
          <w:rFonts w:ascii="Arial" w:hAnsi="Arial" w:cs="Arial"/>
        </w:rPr>
        <w:t xml:space="preserve"> has </w:t>
      </w:r>
      <w:r w:rsidR="00342ED1">
        <w:rPr>
          <w:rFonts w:ascii="Arial" w:hAnsi="Arial" w:cs="Arial"/>
        </w:rPr>
        <w:t xml:space="preserve">not </w:t>
      </w:r>
      <w:r w:rsidR="00E92470" w:rsidRPr="00A73F84">
        <w:rPr>
          <w:rFonts w:ascii="Arial" w:hAnsi="Arial" w:cs="Arial"/>
        </w:rPr>
        <w:t xml:space="preserve">managed to ensure that creditors are settled within the legislated 30 days of invoice. </w:t>
      </w:r>
      <w:r w:rsidR="00C37A36">
        <w:rPr>
          <w:rFonts w:ascii="Arial" w:hAnsi="Arial" w:cs="Arial"/>
        </w:rPr>
        <w:t xml:space="preserve"> </w:t>
      </w:r>
      <w:r w:rsidR="003728D1">
        <w:rPr>
          <w:rFonts w:ascii="Arial" w:hAnsi="Arial" w:cs="Arial"/>
        </w:rPr>
        <w:t xml:space="preserve">While </w:t>
      </w:r>
      <w:r w:rsidR="00EB1FB6">
        <w:rPr>
          <w:rFonts w:ascii="Arial" w:hAnsi="Arial" w:cs="Arial"/>
        </w:rPr>
        <w:t>this raises a concern in terms of the liquidity. Not</w:t>
      </w:r>
      <w:r w:rsidR="00962C25">
        <w:rPr>
          <w:rFonts w:ascii="Arial" w:hAnsi="Arial" w:cs="Arial"/>
        </w:rPr>
        <w:t xml:space="preserve"> </w:t>
      </w:r>
      <w:r w:rsidR="00EB1FB6">
        <w:rPr>
          <w:rFonts w:ascii="Arial" w:hAnsi="Arial" w:cs="Arial"/>
        </w:rPr>
        <w:t xml:space="preserve">paying creditors within 30 days and have </w:t>
      </w:r>
      <w:r w:rsidR="00FA0F8A">
        <w:rPr>
          <w:rFonts w:ascii="Arial" w:hAnsi="Arial" w:cs="Arial"/>
        </w:rPr>
        <w:t>creditor’s</w:t>
      </w:r>
      <w:r w:rsidR="00EB1FB6">
        <w:rPr>
          <w:rFonts w:ascii="Arial" w:hAnsi="Arial" w:cs="Arial"/>
        </w:rPr>
        <w:t xml:space="preserve"> outstanding over 90 days is a sign of weakness in cash flow. However the municipality has daily cash flow management plan which should get the municipality to comply with the 30 days legislation. </w:t>
      </w:r>
    </w:p>
    <w:p w:rsidR="00654A78" w:rsidRPr="00654A78" w:rsidRDefault="00654A78" w:rsidP="00654A78">
      <w:pPr>
        <w:autoSpaceDE w:val="0"/>
        <w:autoSpaceDN w:val="0"/>
        <w:adjustRightInd w:val="0"/>
        <w:spacing w:after="0" w:line="240" w:lineRule="auto"/>
        <w:jc w:val="both"/>
        <w:rPr>
          <w:rFonts w:ascii="Arial" w:eastAsia="Times New Roman" w:hAnsi="Arial" w:cs="Arial"/>
          <w:lang w:val="en-GB"/>
        </w:rPr>
      </w:pPr>
    </w:p>
    <w:p w:rsidR="00654A78" w:rsidRPr="00654A78" w:rsidRDefault="00654A78" w:rsidP="00654A78">
      <w:pPr>
        <w:autoSpaceDE w:val="0"/>
        <w:autoSpaceDN w:val="0"/>
        <w:adjustRightInd w:val="0"/>
        <w:spacing w:after="0" w:line="240" w:lineRule="auto"/>
        <w:rPr>
          <w:rFonts w:ascii="Arial" w:eastAsia="Times New Roman" w:hAnsi="Arial" w:cs="Arial"/>
          <w:b/>
          <w:lang w:val="en-GB"/>
        </w:rPr>
      </w:pPr>
    </w:p>
    <w:p w:rsidR="000A512A" w:rsidRPr="00956A70" w:rsidRDefault="000A512A" w:rsidP="00956A70">
      <w:pPr>
        <w:pStyle w:val="Heading3"/>
        <w:rPr>
          <w:rFonts w:ascii="Arial" w:eastAsia="Times New Roman" w:hAnsi="Arial" w:cs="Arial"/>
          <w:color w:val="auto"/>
          <w:lang w:val="en-GB"/>
        </w:rPr>
      </w:pPr>
      <w:bookmarkStart w:id="113" w:name="_Toc286034110"/>
      <w:bookmarkStart w:id="114" w:name="_Toc286034701"/>
      <w:r w:rsidRPr="00956A70">
        <w:rPr>
          <w:rFonts w:ascii="Arial" w:eastAsia="Times New Roman" w:hAnsi="Arial" w:cs="Arial"/>
          <w:color w:val="auto"/>
          <w:lang w:val="en-GB"/>
        </w:rPr>
        <w:t xml:space="preserve">Free Basic Services: </w:t>
      </w:r>
      <w:r w:rsidR="00743765">
        <w:rPr>
          <w:rFonts w:ascii="Arial" w:eastAsia="Times New Roman" w:hAnsi="Arial" w:cs="Arial"/>
          <w:color w:val="auto"/>
          <w:lang w:val="en-GB"/>
        </w:rPr>
        <w:t>ba</w:t>
      </w:r>
      <w:r w:rsidRPr="00956A70">
        <w:rPr>
          <w:rFonts w:ascii="Arial" w:eastAsia="Times New Roman" w:hAnsi="Arial" w:cs="Arial"/>
          <w:color w:val="auto"/>
          <w:lang w:val="en-GB"/>
        </w:rPr>
        <w:t xml:space="preserve">sic </w:t>
      </w:r>
      <w:r w:rsidR="00743765">
        <w:rPr>
          <w:rFonts w:ascii="Arial" w:eastAsia="Times New Roman" w:hAnsi="Arial" w:cs="Arial"/>
          <w:color w:val="auto"/>
          <w:lang w:val="en-GB"/>
        </w:rPr>
        <w:t>s</w:t>
      </w:r>
      <w:r w:rsidRPr="00956A70">
        <w:rPr>
          <w:rFonts w:ascii="Arial" w:eastAsia="Times New Roman" w:hAnsi="Arial" w:cs="Arial"/>
          <w:color w:val="auto"/>
          <w:lang w:val="en-GB"/>
        </w:rPr>
        <w:t xml:space="preserve">ocial </w:t>
      </w:r>
      <w:r w:rsidR="00743765">
        <w:rPr>
          <w:rFonts w:ascii="Arial" w:eastAsia="Times New Roman" w:hAnsi="Arial" w:cs="Arial"/>
          <w:color w:val="auto"/>
          <w:lang w:val="en-GB"/>
        </w:rPr>
        <w:t>s</w:t>
      </w:r>
      <w:r w:rsidRPr="00956A70">
        <w:rPr>
          <w:rFonts w:ascii="Arial" w:eastAsia="Times New Roman" w:hAnsi="Arial" w:cs="Arial"/>
          <w:color w:val="auto"/>
          <w:lang w:val="en-GB"/>
        </w:rPr>
        <w:t xml:space="preserve">ervices </w:t>
      </w:r>
      <w:r w:rsidR="00743765">
        <w:rPr>
          <w:rFonts w:ascii="Arial" w:eastAsia="Times New Roman" w:hAnsi="Arial" w:cs="Arial"/>
          <w:color w:val="auto"/>
          <w:lang w:val="en-GB"/>
        </w:rPr>
        <w:t>p</w:t>
      </w:r>
      <w:r w:rsidRPr="00956A70">
        <w:rPr>
          <w:rFonts w:ascii="Arial" w:eastAsia="Times New Roman" w:hAnsi="Arial" w:cs="Arial"/>
          <w:color w:val="auto"/>
          <w:lang w:val="en-GB"/>
        </w:rPr>
        <w:t xml:space="preserve">ackage </w:t>
      </w:r>
      <w:r w:rsidR="00743765">
        <w:rPr>
          <w:rFonts w:ascii="Arial" w:eastAsia="Times New Roman" w:hAnsi="Arial" w:cs="Arial"/>
          <w:color w:val="auto"/>
          <w:lang w:val="en-GB"/>
        </w:rPr>
        <w:t>for i</w:t>
      </w:r>
      <w:r w:rsidRPr="00956A70">
        <w:rPr>
          <w:rFonts w:ascii="Arial" w:eastAsia="Times New Roman" w:hAnsi="Arial" w:cs="Arial"/>
          <w:color w:val="auto"/>
          <w:lang w:val="en-GB"/>
        </w:rPr>
        <w:t>ndigent households</w:t>
      </w:r>
      <w:bookmarkEnd w:id="113"/>
      <w:bookmarkEnd w:id="114"/>
    </w:p>
    <w:p w:rsidR="00BA1351" w:rsidRPr="00654A78" w:rsidRDefault="00BA1351" w:rsidP="00654A78">
      <w:pPr>
        <w:autoSpaceDE w:val="0"/>
        <w:autoSpaceDN w:val="0"/>
        <w:adjustRightInd w:val="0"/>
        <w:spacing w:after="0" w:line="240" w:lineRule="auto"/>
        <w:rPr>
          <w:rFonts w:ascii="Arial" w:eastAsia="Times New Roman" w:hAnsi="Arial" w:cs="Arial"/>
          <w:b/>
          <w:lang w:val="en-GB"/>
        </w:rPr>
      </w:pPr>
    </w:p>
    <w:p w:rsidR="00BA1351" w:rsidRDefault="000A512A" w:rsidP="00654A78">
      <w:pPr>
        <w:spacing w:after="0" w:line="240" w:lineRule="auto"/>
        <w:jc w:val="both"/>
        <w:rPr>
          <w:rFonts w:ascii="Arial" w:eastAsia="Times New Roman" w:hAnsi="Arial" w:cs="Arial"/>
          <w:lang w:val="en-GB"/>
        </w:rPr>
      </w:pPr>
      <w:r w:rsidRPr="00654A78">
        <w:rPr>
          <w:rFonts w:ascii="Arial" w:eastAsia="Times New Roman" w:hAnsi="Arial" w:cs="Arial"/>
          <w:lang w:val="en-GB"/>
        </w:rPr>
        <w:t xml:space="preserve">The social package assists residents that </w:t>
      </w:r>
      <w:r w:rsidR="003728D1">
        <w:rPr>
          <w:rFonts w:ascii="Arial" w:eastAsia="Times New Roman" w:hAnsi="Arial" w:cs="Arial"/>
          <w:lang w:val="en-GB"/>
        </w:rPr>
        <w:t xml:space="preserve">have difficulty </w:t>
      </w:r>
      <w:r w:rsidRPr="00654A78">
        <w:rPr>
          <w:rFonts w:ascii="Arial" w:eastAsia="Times New Roman" w:hAnsi="Arial" w:cs="Arial"/>
          <w:lang w:val="en-GB"/>
        </w:rPr>
        <w:t>pay</w:t>
      </w:r>
      <w:r w:rsidR="003728D1">
        <w:rPr>
          <w:rFonts w:ascii="Arial" w:eastAsia="Times New Roman" w:hAnsi="Arial" w:cs="Arial"/>
          <w:lang w:val="en-GB"/>
        </w:rPr>
        <w:t>ing</w:t>
      </w:r>
      <w:r w:rsidRPr="00654A78">
        <w:rPr>
          <w:rFonts w:ascii="Arial" w:eastAsia="Times New Roman" w:hAnsi="Arial" w:cs="Arial"/>
          <w:lang w:val="en-GB"/>
        </w:rPr>
        <w:t xml:space="preserve"> for services and are registered as indigent households in terms of the Indigent Policy</w:t>
      </w:r>
      <w:r w:rsidR="00F60825">
        <w:rPr>
          <w:rFonts w:ascii="Arial" w:eastAsia="Times New Roman" w:hAnsi="Arial" w:cs="Arial"/>
          <w:lang w:val="en-GB"/>
        </w:rPr>
        <w:t xml:space="preserve"> of the Municipality</w:t>
      </w:r>
      <w:r w:rsidRPr="00654A78">
        <w:rPr>
          <w:rFonts w:ascii="Arial" w:eastAsia="Times New Roman" w:hAnsi="Arial" w:cs="Arial"/>
          <w:lang w:val="en-GB"/>
        </w:rPr>
        <w:t>.</w:t>
      </w:r>
      <w:r w:rsidR="00C37A36">
        <w:rPr>
          <w:rFonts w:ascii="Arial" w:eastAsia="Times New Roman" w:hAnsi="Arial" w:cs="Arial"/>
          <w:lang w:val="en-GB"/>
        </w:rPr>
        <w:t xml:space="preserve"> </w:t>
      </w:r>
    </w:p>
    <w:p w:rsidR="00BA1351" w:rsidRDefault="00BA1351" w:rsidP="00654A78">
      <w:pPr>
        <w:spacing w:after="0" w:line="240" w:lineRule="auto"/>
        <w:jc w:val="both"/>
        <w:rPr>
          <w:rFonts w:ascii="Arial" w:eastAsia="Times New Roman" w:hAnsi="Arial" w:cs="Arial"/>
          <w:lang w:val="en-GB"/>
        </w:rPr>
      </w:pPr>
    </w:p>
    <w:p w:rsidR="00A73F84" w:rsidRDefault="00EB1FB6" w:rsidP="00A73F84">
      <w:pPr>
        <w:spacing w:after="0" w:line="240" w:lineRule="auto"/>
        <w:jc w:val="both"/>
        <w:rPr>
          <w:rFonts w:ascii="Arial" w:hAnsi="Arial" w:cs="Arial"/>
        </w:rPr>
      </w:pPr>
      <w:r>
        <w:rPr>
          <w:rFonts w:ascii="Arial" w:eastAsia="Times New Roman" w:hAnsi="Arial" w:cs="Arial"/>
          <w:lang w:val="en-GB"/>
        </w:rPr>
        <w:t>For the 2015/16</w:t>
      </w:r>
      <w:r w:rsidR="00F60825">
        <w:rPr>
          <w:rFonts w:ascii="Arial" w:eastAsia="Times New Roman" w:hAnsi="Arial" w:cs="Arial"/>
          <w:lang w:val="en-GB"/>
        </w:rPr>
        <w:t xml:space="preserve"> financial year 5000</w:t>
      </w:r>
      <w:r w:rsidR="000A512A" w:rsidRPr="00654A78">
        <w:rPr>
          <w:rFonts w:ascii="Arial" w:eastAsia="Times New Roman" w:hAnsi="Arial" w:cs="Arial"/>
          <w:lang w:val="en-GB"/>
        </w:rPr>
        <w:t xml:space="preserve"> registered indigents have been provided for in the budget with this figured </w:t>
      </w:r>
      <w:r w:rsidR="003728D1">
        <w:rPr>
          <w:rFonts w:ascii="Arial" w:eastAsia="Times New Roman" w:hAnsi="Arial" w:cs="Arial"/>
          <w:lang w:val="en-GB"/>
        </w:rPr>
        <w:t xml:space="preserve">increasing </w:t>
      </w:r>
      <w:r w:rsidR="00F60825">
        <w:rPr>
          <w:rFonts w:ascii="Arial" w:eastAsia="Times New Roman" w:hAnsi="Arial" w:cs="Arial"/>
          <w:lang w:val="en-GB"/>
        </w:rPr>
        <w:t xml:space="preserve">to 7000 by </w:t>
      </w:r>
      <w:r w:rsidR="004454A3">
        <w:rPr>
          <w:rFonts w:ascii="Arial" w:eastAsia="Times New Roman" w:hAnsi="Arial" w:cs="Arial"/>
          <w:lang w:val="en-GB"/>
        </w:rPr>
        <w:t>2019/20</w:t>
      </w:r>
      <w:r w:rsidR="000A512A" w:rsidRPr="00654A78">
        <w:rPr>
          <w:rFonts w:ascii="Arial" w:eastAsia="Times New Roman" w:hAnsi="Arial" w:cs="Arial"/>
          <w:lang w:val="en-GB"/>
        </w:rPr>
        <w:t>.</w:t>
      </w:r>
      <w:r w:rsidR="003728D1">
        <w:rPr>
          <w:rFonts w:ascii="Arial" w:eastAsia="Times New Roman" w:hAnsi="Arial" w:cs="Arial"/>
          <w:lang w:val="en-GB"/>
        </w:rPr>
        <w:t xml:space="preserve"> </w:t>
      </w:r>
      <w:r w:rsidR="000A512A" w:rsidRPr="00654A78">
        <w:rPr>
          <w:rFonts w:ascii="Arial" w:eastAsia="Times New Roman" w:hAnsi="Arial" w:cs="Arial"/>
          <w:lang w:val="en-GB"/>
        </w:rPr>
        <w:t xml:space="preserve"> In terms of the Municipality’s indigent policy </w:t>
      </w:r>
      <w:r w:rsidR="003728D1">
        <w:rPr>
          <w:rFonts w:ascii="Arial" w:eastAsia="Times New Roman" w:hAnsi="Arial" w:cs="Arial"/>
          <w:lang w:val="en-GB"/>
        </w:rPr>
        <w:t>registered households</w:t>
      </w:r>
      <w:r w:rsidR="000A512A" w:rsidRPr="00654A78">
        <w:rPr>
          <w:rFonts w:ascii="Arial" w:eastAsia="Times New Roman" w:hAnsi="Arial" w:cs="Arial"/>
          <w:lang w:val="en-GB"/>
        </w:rPr>
        <w:t xml:space="preserve"> are </w:t>
      </w:r>
      <w:r w:rsidR="003449FD" w:rsidRPr="00654A78">
        <w:rPr>
          <w:rFonts w:ascii="Arial" w:eastAsia="Times New Roman" w:hAnsi="Arial" w:cs="Arial"/>
          <w:lang w:val="en-GB"/>
        </w:rPr>
        <w:t>entitled</w:t>
      </w:r>
      <w:r w:rsidR="00F60825">
        <w:rPr>
          <w:rFonts w:ascii="Arial" w:eastAsia="Times New Roman" w:hAnsi="Arial" w:cs="Arial"/>
          <w:lang w:val="en-GB"/>
        </w:rPr>
        <w:t xml:space="preserve"> to</w:t>
      </w:r>
      <w:r w:rsidR="000A512A" w:rsidRPr="00654A78">
        <w:rPr>
          <w:rFonts w:ascii="Arial" w:hAnsi="Arial" w:cs="Arial"/>
        </w:rPr>
        <w:t xml:space="preserve"> </w:t>
      </w:r>
      <w:r w:rsidR="00514DAB">
        <w:rPr>
          <w:rFonts w:ascii="Arial" w:hAnsi="Arial" w:cs="Arial"/>
        </w:rPr>
        <w:t>50</w:t>
      </w:r>
      <w:r w:rsidR="00A73F84">
        <w:rPr>
          <w:rFonts w:ascii="Arial" w:hAnsi="Arial" w:cs="Arial"/>
        </w:rPr>
        <w:t xml:space="preserve"> </w:t>
      </w:r>
      <w:proofErr w:type="gramStart"/>
      <w:r w:rsidR="00A73F84">
        <w:rPr>
          <w:rFonts w:ascii="Arial" w:hAnsi="Arial" w:cs="Arial"/>
        </w:rPr>
        <w:t>kwh</w:t>
      </w:r>
      <w:proofErr w:type="gramEnd"/>
      <w:r w:rsidR="00A73F84">
        <w:rPr>
          <w:rFonts w:ascii="Arial" w:hAnsi="Arial" w:cs="Arial"/>
        </w:rPr>
        <w:t xml:space="preserve"> of electricity and free waste removal equivalent </w:t>
      </w:r>
      <w:r w:rsidR="00BA4FB8">
        <w:rPr>
          <w:rFonts w:ascii="Arial" w:hAnsi="Arial" w:cs="Arial"/>
        </w:rPr>
        <w:t xml:space="preserve">to </w:t>
      </w:r>
      <w:r w:rsidR="00A73F84">
        <w:rPr>
          <w:rFonts w:ascii="Arial" w:hAnsi="Arial" w:cs="Arial"/>
        </w:rPr>
        <w:t>85</w:t>
      </w:r>
      <w:r w:rsidR="00A73F84" w:rsidRPr="000A512A">
        <w:rPr>
          <w:rFonts w:ascii="Arial" w:hAnsi="Arial" w:cs="Arial"/>
          <w:color w:val="000000"/>
          <w:sz w:val="18"/>
          <w:szCs w:val="18"/>
        </w:rPr>
        <w:t>ℓ</w:t>
      </w:r>
      <w:r w:rsidR="00A73F84" w:rsidRPr="00654A78">
        <w:rPr>
          <w:rFonts w:ascii="Arial" w:hAnsi="Arial" w:cs="Arial"/>
        </w:rPr>
        <w:t xml:space="preserve"> </w:t>
      </w:r>
      <w:r w:rsidR="00A73F84">
        <w:rPr>
          <w:rFonts w:ascii="Arial" w:hAnsi="Arial" w:cs="Arial"/>
        </w:rPr>
        <w:t>once a week</w:t>
      </w:r>
      <w:r w:rsidR="003728D1">
        <w:rPr>
          <w:rFonts w:ascii="Arial" w:hAnsi="Arial" w:cs="Arial"/>
        </w:rPr>
        <w:t>, as well as</w:t>
      </w:r>
      <w:r w:rsidR="006604D9">
        <w:rPr>
          <w:rFonts w:ascii="Arial" w:hAnsi="Arial" w:cs="Arial"/>
        </w:rPr>
        <w:t xml:space="preserve"> a discount on their property rates.</w:t>
      </w:r>
    </w:p>
    <w:p w:rsidR="000A512A" w:rsidRPr="00BA1351" w:rsidRDefault="00A73F84" w:rsidP="00A73F84">
      <w:pPr>
        <w:spacing w:after="0" w:line="240" w:lineRule="auto"/>
        <w:jc w:val="both"/>
        <w:rPr>
          <w:i/>
        </w:rPr>
      </w:pPr>
      <w:r w:rsidRPr="00BA1351">
        <w:rPr>
          <w:i/>
        </w:rPr>
        <w:t xml:space="preserve"> </w:t>
      </w:r>
    </w:p>
    <w:p w:rsidR="006604D9" w:rsidRDefault="006604D9" w:rsidP="00BA1351">
      <w:pPr>
        <w:autoSpaceDE w:val="0"/>
        <w:autoSpaceDN w:val="0"/>
        <w:adjustRightInd w:val="0"/>
        <w:spacing w:after="0" w:line="240" w:lineRule="auto"/>
        <w:jc w:val="both"/>
        <w:rPr>
          <w:rFonts w:ascii="Arial" w:eastAsia="Times New Roman" w:hAnsi="Arial" w:cs="Arial"/>
          <w:color w:val="FF0000"/>
          <w:lang w:val="en-GB"/>
        </w:rPr>
      </w:pPr>
      <w:r w:rsidRPr="00BA1351">
        <w:rPr>
          <w:rFonts w:ascii="Arial" w:eastAsia="Times New Roman" w:hAnsi="Arial" w:cs="Arial"/>
          <w:lang w:val="en-GB"/>
        </w:rPr>
        <w:t>Further detail relating to the number of households receiving free basic services, the cost of free basic services, highest level of free basic services as well as the revenue cost associated with the free basic services is contained in Table</w:t>
      </w:r>
      <w:r w:rsidR="00C37A36">
        <w:rPr>
          <w:rFonts w:ascii="Arial" w:eastAsia="Times New Roman" w:hAnsi="Arial" w:cs="Arial"/>
          <w:lang w:val="en-GB"/>
        </w:rPr>
        <w:t xml:space="preserve"> 27 MBRR</w:t>
      </w:r>
      <w:r w:rsidRPr="00BA1351">
        <w:rPr>
          <w:rFonts w:ascii="Arial" w:eastAsia="Times New Roman" w:hAnsi="Arial" w:cs="Arial"/>
          <w:lang w:val="en-GB"/>
        </w:rPr>
        <w:t xml:space="preserve"> A10</w:t>
      </w:r>
      <w:r w:rsidR="00C37A36">
        <w:rPr>
          <w:rFonts w:ascii="Arial" w:eastAsia="Times New Roman" w:hAnsi="Arial" w:cs="Arial"/>
          <w:lang w:val="en-GB"/>
        </w:rPr>
        <w:t xml:space="preserve"> (</w:t>
      </w:r>
      <w:r w:rsidRPr="00BA1351">
        <w:rPr>
          <w:rFonts w:ascii="Arial" w:eastAsia="Times New Roman" w:hAnsi="Arial" w:cs="Arial"/>
          <w:lang w:val="en-GB"/>
        </w:rPr>
        <w:t>Basic Service Delivery Measurement</w:t>
      </w:r>
      <w:r w:rsidR="00C37A36">
        <w:rPr>
          <w:rFonts w:ascii="Arial" w:eastAsia="Times New Roman" w:hAnsi="Arial" w:cs="Arial"/>
          <w:lang w:val="en-GB"/>
        </w:rPr>
        <w:t>)</w:t>
      </w:r>
      <w:r w:rsidR="00F60825">
        <w:rPr>
          <w:rFonts w:ascii="Arial" w:eastAsia="Times New Roman" w:hAnsi="Arial" w:cs="Arial"/>
          <w:lang w:val="en-GB"/>
        </w:rPr>
        <w:t xml:space="preserve"> </w:t>
      </w:r>
      <w:r>
        <w:rPr>
          <w:rFonts w:ascii="Arial" w:eastAsia="Times New Roman" w:hAnsi="Arial" w:cs="Arial"/>
          <w:color w:val="FF0000"/>
          <w:lang w:val="en-GB"/>
        </w:rPr>
        <w:t xml:space="preserve"> </w:t>
      </w:r>
    </w:p>
    <w:p w:rsidR="006604D9" w:rsidRDefault="006604D9" w:rsidP="00BA1351">
      <w:pPr>
        <w:autoSpaceDE w:val="0"/>
        <w:autoSpaceDN w:val="0"/>
        <w:adjustRightInd w:val="0"/>
        <w:spacing w:after="0" w:line="240" w:lineRule="auto"/>
        <w:jc w:val="both"/>
        <w:rPr>
          <w:rFonts w:ascii="Arial" w:eastAsia="Times New Roman" w:hAnsi="Arial" w:cs="Arial"/>
          <w:color w:val="FF0000"/>
          <w:lang w:val="en-GB"/>
        </w:rPr>
      </w:pPr>
    </w:p>
    <w:p w:rsidR="00506333" w:rsidRDefault="006604D9" w:rsidP="00BA1351">
      <w:pPr>
        <w:autoSpaceDE w:val="0"/>
        <w:autoSpaceDN w:val="0"/>
        <w:adjustRightInd w:val="0"/>
        <w:spacing w:after="0" w:line="240" w:lineRule="auto"/>
        <w:jc w:val="both"/>
        <w:rPr>
          <w:rFonts w:ascii="Arial" w:eastAsia="Times New Roman" w:hAnsi="Arial" w:cs="Arial"/>
          <w:lang w:val="en-GB"/>
        </w:rPr>
      </w:pPr>
      <w:r w:rsidRPr="006604D9">
        <w:rPr>
          <w:rFonts w:ascii="Arial" w:eastAsia="Times New Roman" w:hAnsi="Arial" w:cs="Arial"/>
          <w:lang w:val="en-GB"/>
        </w:rPr>
        <w:t xml:space="preserve">Note that the </w:t>
      </w:r>
      <w:r w:rsidR="000A512A" w:rsidRPr="006604D9">
        <w:rPr>
          <w:rFonts w:ascii="Arial" w:eastAsia="Times New Roman" w:hAnsi="Arial" w:cs="Arial"/>
          <w:lang w:val="en-GB"/>
        </w:rPr>
        <w:t>number of households in informal areas that receive free services and the cost of these services (e</w:t>
      </w:r>
      <w:r w:rsidR="00743765">
        <w:rPr>
          <w:rFonts w:ascii="Arial" w:eastAsia="Times New Roman" w:hAnsi="Arial" w:cs="Arial"/>
          <w:lang w:val="en-GB"/>
        </w:rPr>
        <w:t>.</w:t>
      </w:r>
      <w:r w:rsidR="000A512A" w:rsidRPr="006604D9">
        <w:rPr>
          <w:rFonts w:ascii="Arial" w:eastAsia="Times New Roman" w:hAnsi="Arial" w:cs="Arial"/>
          <w:lang w:val="en-GB"/>
        </w:rPr>
        <w:t>g</w:t>
      </w:r>
      <w:r w:rsidR="00743765">
        <w:rPr>
          <w:rFonts w:ascii="Arial" w:eastAsia="Times New Roman" w:hAnsi="Arial" w:cs="Arial"/>
          <w:lang w:val="en-GB"/>
        </w:rPr>
        <w:t>.</w:t>
      </w:r>
      <w:r w:rsidR="000A512A" w:rsidRPr="00BA1351">
        <w:rPr>
          <w:rFonts w:ascii="Arial" w:eastAsia="Times New Roman" w:hAnsi="Arial" w:cs="Arial"/>
          <w:lang w:val="en-GB"/>
        </w:rPr>
        <w:t xml:space="preserve"> the provision of water through stand pipes, water tankers, </w:t>
      </w:r>
      <w:proofErr w:type="spellStart"/>
      <w:r w:rsidR="000A512A" w:rsidRPr="00BA1351">
        <w:rPr>
          <w:rFonts w:ascii="Arial" w:eastAsia="Times New Roman" w:hAnsi="Arial" w:cs="Arial"/>
          <w:lang w:val="en-GB"/>
        </w:rPr>
        <w:t>etc</w:t>
      </w:r>
      <w:proofErr w:type="spellEnd"/>
      <w:r w:rsidR="000A512A" w:rsidRPr="00BA1351">
        <w:rPr>
          <w:rFonts w:ascii="Arial" w:eastAsia="Times New Roman" w:hAnsi="Arial" w:cs="Arial"/>
          <w:lang w:val="en-GB"/>
        </w:rPr>
        <w:t xml:space="preserve">) are not taken into account in the table </w:t>
      </w:r>
      <w:r>
        <w:rPr>
          <w:rFonts w:ascii="Arial" w:eastAsia="Times New Roman" w:hAnsi="Arial" w:cs="Arial"/>
          <w:lang w:val="en-GB"/>
        </w:rPr>
        <w:t xml:space="preserve">noted </w:t>
      </w:r>
      <w:r w:rsidR="000A512A" w:rsidRPr="00BA1351">
        <w:rPr>
          <w:rFonts w:ascii="Arial" w:eastAsia="Times New Roman" w:hAnsi="Arial" w:cs="Arial"/>
          <w:lang w:val="en-GB"/>
        </w:rPr>
        <w:t xml:space="preserve">above.  </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A0652F" w:rsidRPr="00BA1351" w:rsidRDefault="00A0652F" w:rsidP="00BA1351">
      <w:pPr>
        <w:spacing w:after="0" w:line="240" w:lineRule="auto"/>
        <w:jc w:val="both"/>
        <w:rPr>
          <w:rFonts w:ascii="Arial" w:eastAsiaTheme="majorEastAsia" w:hAnsi="Arial" w:cs="Arial"/>
          <w:b/>
          <w:bCs/>
          <w:sz w:val="26"/>
          <w:szCs w:val="26"/>
        </w:rPr>
      </w:pPr>
    </w:p>
    <w:p w:rsidR="00CB594D" w:rsidRPr="00BA1351" w:rsidRDefault="00CB594D" w:rsidP="00BA1351">
      <w:pPr>
        <w:pStyle w:val="Heading2"/>
        <w:spacing w:before="0" w:line="240" w:lineRule="auto"/>
        <w:rPr>
          <w:rFonts w:ascii="Arial" w:hAnsi="Arial" w:cs="Arial"/>
          <w:color w:val="auto"/>
        </w:rPr>
      </w:pPr>
      <w:bookmarkStart w:id="115" w:name="_Toc286034112"/>
      <w:bookmarkStart w:id="116" w:name="_Toc286034703"/>
      <w:bookmarkStart w:id="117" w:name="_Toc286041442"/>
      <w:bookmarkStart w:id="118" w:name="_Toc286041511"/>
      <w:bookmarkStart w:id="119" w:name="_Toc286117322"/>
      <w:bookmarkStart w:id="120" w:name="_Toc287342533"/>
      <w:r w:rsidRPr="00BA1351">
        <w:rPr>
          <w:rFonts w:ascii="Arial" w:hAnsi="Arial" w:cs="Arial"/>
          <w:color w:val="auto"/>
        </w:rPr>
        <w:t>Overview of budget related-policies</w:t>
      </w:r>
      <w:bookmarkEnd w:id="115"/>
      <w:bookmarkEnd w:id="116"/>
      <w:bookmarkEnd w:id="117"/>
      <w:bookmarkEnd w:id="118"/>
      <w:bookmarkEnd w:id="119"/>
      <w:bookmarkEnd w:id="120"/>
    </w:p>
    <w:p w:rsidR="001F56D1" w:rsidRPr="00BA1351" w:rsidRDefault="001F56D1" w:rsidP="00BA1351">
      <w:pPr>
        <w:spacing w:after="0" w:line="240" w:lineRule="auto"/>
        <w:jc w:val="both"/>
        <w:rPr>
          <w:rFonts w:ascii="Arial" w:hAnsi="Arial" w:cs="Arial"/>
          <w:color w:val="E36C0A" w:themeColor="accent6" w:themeShade="BF"/>
        </w:rPr>
      </w:pPr>
    </w:p>
    <w:p w:rsidR="001F56D1" w:rsidRDefault="00F60825" w:rsidP="00BA1351">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The municipality’s</w:t>
      </w:r>
      <w:r w:rsidR="001F56D1" w:rsidRPr="00BA1351">
        <w:rPr>
          <w:rFonts w:ascii="Arial" w:eastAsia="Times New Roman" w:hAnsi="Arial" w:cs="Arial"/>
          <w:lang w:val="en-GB"/>
        </w:rPr>
        <w:t xml:space="preserve"> budgeting process is guided and governed by relevant legislation, frameworks, strategies and related policies.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1F56D1" w:rsidP="00956A70">
      <w:pPr>
        <w:pStyle w:val="Heading3"/>
        <w:rPr>
          <w:rFonts w:ascii="Arial" w:eastAsia="Times New Roman" w:hAnsi="Arial" w:cs="Arial"/>
          <w:color w:val="auto"/>
          <w:lang w:val="en-GB"/>
        </w:rPr>
      </w:pPr>
      <w:bookmarkStart w:id="121" w:name="_Toc286034113"/>
      <w:bookmarkStart w:id="122" w:name="_Toc286034704"/>
      <w:r w:rsidRPr="00956A70">
        <w:rPr>
          <w:rFonts w:ascii="Arial" w:eastAsia="Times New Roman" w:hAnsi="Arial" w:cs="Arial"/>
          <w:color w:val="auto"/>
          <w:lang w:val="en-GB"/>
        </w:rPr>
        <w:t>Review of credit control</w:t>
      </w:r>
      <w:r w:rsidR="00AD2F25">
        <w:rPr>
          <w:rFonts w:ascii="Arial" w:eastAsia="Times New Roman" w:hAnsi="Arial" w:cs="Arial"/>
          <w:color w:val="auto"/>
          <w:lang w:val="en-GB"/>
        </w:rPr>
        <w:t xml:space="preserve"> and debt collection</w:t>
      </w:r>
      <w:r w:rsidRPr="00956A70">
        <w:rPr>
          <w:rFonts w:ascii="Arial" w:eastAsia="Times New Roman" w:hAnsi="Arial" w:cs="Arial"/>
          <w:color w:val="auto"/>
          <w:lang w:val="en-GB"/>
        </w:rPr>
        <w:t xml:space="preserve"> procedures/policies</w:t>
      </w:r>
      <w:bookmarkEnd w:id="121"/>
      <w:bookmarkEnd w:id="122"/>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C100BF"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The Collection Policy as app</w:t>
      </w:r>
      <w:r w:rsidR="004454A3">
        <w:rPr>
          <w:rFonts w:ascii="Arial" w:eastAsia="Times New Roman" w:hAnsi="Arial" w:cs="Arial"/>
          <w:lang w:val="en-GB"/>
        </w:rPr>
        <w:t>roved by Council in 2019/20</w:t>
      </w:r>
      <w:r w:rsidRPr="00BA1351">
        <w:rPr>
          <w:rFonts w:ascii="Arial" w:eastAsia="Times New Roman" w:hAnsi="Arial" w:cs="Arial"/>
          <w:lang w:val="en-GB"/>
        </w:rPr>
        <w:t xml:space="preserve"> is currently under review. </w:t>
      </w:r>
      <w:r w:rsidR="00C37A36">
        <w:rPr>
          <w:rFonts w:ascii="Arial" w:eastAsia="Times New Roman" w:hAnsi="Arial" w:cs="Arial"/>
          <w:lang w:val="en-GB"/>
        </w:rPr>
        <w:t xml:space="preserve"> </w:t>
      </w:r>
      <w:r w:rsidR="006604D9">
        <w:rPr>
          <w:rFonts w:ascii="Arial" w:eastAsia="Times New Roman" w:hAnsi="Arial" w:cs="Arial"/>
          <w:lang w:val="en-GB"/>
        </w:rPr>
        <w:t xml:space="preserve">While the </w:t>
      </w:r>
      <w:r w:rsidRPr="00BA1351">
        <w:rPr>
          <w:rFonts w:ascii="Arial" w:eastAsia="Times New Roman" w:hAnsi="Arial" w:cs="Arial"/>
          <w:lang w:val="en-GB"/>
        </w:rPr>
        <w:t xml:space="preserve">adopted policy is credible, sustainable, manageable and informed by affordability and value for money there has been a need to review certain components to achieve a higher collection rate. </w:t>
      </w:r>
      <w:r w:rsidR="00C37A36">
        <w:rPr>
          <w:rFonts w:ascii="Arial" w:eastAsia="Times New Roman" w:hAnsi="Arial" w:cs="Arial"/>
          <w:lang w:val="en-GB"/>
        </w:rPr>
        <w:t xml:space="preserve"> </w:t>
      </w:r>
      <w:r w:rsidRPr="00BA1351">
        <w:rPr>
          <w:rFonts w:ascii="Arial" w:eastAsia="Times New Roman" w:hAnsi="Arial" w:cs="Arial"/>
          <w:lang w:val="en-GB"/>
        </w:rPr>
        <w:t>Some of the possible revision</w:t>
      </w:r>
      <w:r w:rsidR="006604D9">
        <w:rPr>
          <w:rFonts w:ascii="Arial" w:eastAsia="Times New Roman" w:hAnsi="Arial" w:cs="Arial"/>
          <w:lang w:val="en-GB"/>
        </w:rPr>
        <w:t>s</w:t>
      </w:r>
      <w:r w:rsidRPr="00BA1351">
        <w:rPr>
          <w:rFonts w:ascii="Arial" w:eastAsia="Times New Roman" w:hAnsi="Arial" w:cs="Arial"/>
          <w:lang w:val="en-GB"/>
        </w:rPr>
        <w:t xml:space="preserve"> will include the lowering of the credit periods for the down payment of </w:t>
      </w:r>
      <w:r w:rsidR="00C100BF" w:rsidRPr="00BA1351">
        <w:rPr>
          <w:rFonts w:ascii="Arial" w:eastAsia="Times New Roman" w:hAnsi="Arial" w:cs="Arial"/>
          <w:lang w:val="en-GB"/>
        </w:rPr>
        <w:t xml:space="preserve">debt. </w:t>
      </w:r>
      <w:r w:rsidR="00C37A36">
        <w:rPr>
          <w:rFonts w:ascii="Arial" w:eastAsia="Times New Roman" w:hAnsi="Arial" w:cs="Arial"/>
          <w:lang w:val="en-GB"/>
        </w:rPr>
        <w:t xml:space="preserve"> </w:t>
      </w:r>
      <w:r w:rsidR="00C100BF" w:rsidRPr="00BA1351">
        <w:rPr>
          <w:rFonts w:ascii="Arial" w:eastAsia="Times New Roman" w:hAnsi="Arial" w:cs="Arial"/>
          <w:lang w:val="en-GB"/>
        </w:rPr>
        <w:t xml:space="preserve">In addition emphasis </w:t>
      </w:r>
      <w:r w:rsidR="006604D9">
        <w:rPr>
          <w:rFonts w:ascii="Arial" w:eastAsia="Times New Roman" w:hAnsi="Arial" w:cs="Arial"/>
          <w:lang w:val="en-GB"/>
        </w:rPr>
        <w:t xml:space="preserve">will be </w:t>
      </w:r>
      <w:r w:rsidR="00C100BF" w:rsidRPr="00BA1351">
        <w:rPr>
          <w:rFonts w:ascii="Arial" w:eastAsia="Times New Roman" w:hAnsi="Arial" w:cs="Arial"/>
          <w:lang w:val="en-GB"/>
        </w:rPr>
        <w:t>placed on speeding up the indigent registration process to ensure that credit control and debt collection efforts are not fruit</w:t>
      </w:r>
      <w:r w:rsidR="00BA1351">
        <w:rPr>
          <w:rFonts w:ascii="Arial" w:eastAsia="Times New Roman" w:hAnsi="Arial" w:cs="Arial"/>
          <w:lang w:val="en-GB"/>
        </w:rPr>
        <w:t>lessly wasted on these debtors.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Default="00C100B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As most</w:t>
      </w:r>
      <w:r w:rsidR="002C3EF9">
        <w:rPr>
          <w:rFonts w:ascii="Arial" w:eastAsia="Times New Roman" w:hAnsi="Arial" w:cs="Arial"/>
          <w:lang w:val="en-GB"/>
        </w:rPr>
        <w:t xml:space="preserve"> of</w:t>
      </w:r>
      <w:r w:rsidRPr="00BA1351">
        <w:rPr>
          <w:rFonts w:ascii="Arial" w:eastAsia="Times New Roman" w:hAnsi="Arial" w:cs="Arial"/>
          <w:lang w:val="en-GB"/>
        </w:rPr>
        <w:t xml:space="preserve"> the indigents </w:t>
      </w:r>
      <w:r w:rsidR="001F56D1" w:rsidRPr="00BA1351">
        <w:rPr>
          <w:rFonts w:ascii="Arial" w:eastAsia="Times New Roman" w:hAnsi="Arial" w:cs="Arial"/>
          <w:lang w:val="en-GB"/>
        </w:rPr>
        <w:t>within the municipal area are unable to pay for municipal services because they are unemployed, the Integrated Indigent Exit Programme aims to link the registered indigent households to development, skills and job opportunities.  The programme also seeks to ensure that all departments as well as external role players are actively involved in the reduction of the number of</w:t>
      </w:r>
      <w:r w:rsidR="00BA1351">
        <w:rPr>
          <w:rFonts w:ascii="Arial" w:eastAsia="Times New Roman" w:hAnsi="Arial" w:cs="Arial"/>
          <w:lang w:val="en-GB"/>
        </w:rPr>
        <w:t xml:space="preserve"> registered indigent households.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4454A3">
        <w:rPr>
          <w:rFonts w:ascii="Arial" w:eastAsia="Times New Roman" w:hAnsi="Arial" w:cs="Arial"/>
          <w:lang w:val="en-GB"/>
        </w:rPr>
        <w:t>2019/20</w:t>
      </w:r>
      <w:r w:rsidRPr="00BA1351">
        <w:rPr>
          <w:rFonts w:ascii="Arial" w:eastAsia="Times New Roman" w:hAnsi="Arial" w:cs="Arial"/>
          <w:lang w:val="en-GB"/>
        </w:rPr>
        <w:t xml:space="preserve"> MTREF has been prepared on the basis of achieving an avera</w:t>
      </w:r>
      <w:r w:rsidR="0045067D">
        <w:rPr>
          <w:rFonts w:ascii="Arial" w:eastAsia="Times New Roman" w:hAnsi="Arial" w:cs="Arial"/>
          <w:lang w:val="en-GB"/>
        </w:rPr>
        <w:t>ge debtors’ collection rate of 80</w:t>
      </w:r>
      <w:r w:rsidR="00715386">
        <w:rPr>
          <w:rFonts w:ascii="Arial" w:eastAsia="Times New Roman" w:hAnsi="Arial" w:cs="Arial"/>
          <w:lang w:val="en-GB"/>
        </w:rPr>
        <w:t xml:space="preserve"> per cent</w:t>
      </w:r>
      <w:r w:rsidR="00C100BF" w:rsidRPr="00BA1351">
        <w:rPr>
          <w:rFonts w:ascii="Arial" w:eastAsia="Times New Roman" w:hAnsi="Arial" w:cs="Arial"/>
          <w:lang w:val="en-GB"/>
        </w:rPr>
        <w:t xml:space="preserve"> on current billings.</w:t>
      </w:r>
      <w:r w:rsidR="00C37A36">
        <w:rPr>
          <w:rFonts w:ascii="Arial" w:eastAsia="Times New Roman" w:hAnsi="Arial" w:cs="Arial"/>
          <w:lang w:val="en-GB"/>
        </w:rPr>
        <w:t xml:space="preserve"> </w:t>
      </w:r>
      <w:r w:rsidR="00C100BF" w:rsidRPr="00BA1351">
        <w:rPr>
          <w:rFonts w:ascii="Arial" w:eastAsia="Times New Roman" w:hAnsi="Arial" w:cs="Arial"/>
          <w:lang w:val="en-GB"/>
        </w:rPr>
        <w:t xml:space="preserve"> In addition the collection of debt in excess of 90 days has been prioritised as a pertinent</w:t>
      </w:r>
      <w:r w:rsidR="0045067D">
        <w:rPr>
          <w:rFonts w:ascii="Arial" w:eastAsia="Times New Roman" w:hAnsi="Arial" w:cs="Arial"/>
          <w:lang w:val="en-GB"/>
        </w:rPr>
        <w:t xml:space="preserve"> strategy in increasing the municipality’s</w:t>
      </w:r>
      <w:r w:rsidR="00C100BF" w:rsidRPr="00BA1351">
        <w:rPr>
          <w:rFonts w:ascii="Arial" w:eastAsia="Times New Roman" w:hAnsi="Arial" w:cs="Arial"/>
          <w:lang w:val="en-GB"/>
        </w:rPr>
        <w:t xml:space="preserve"> cash levels.</w:t>
      </w:r>
      <w:r w:rsidR="00A318BD" w:rsidRPr="00BA1351">
        <w:rPr>
          <w:rFonts w:ascii="Arial" w:eastAsia="Times New Roman" w:hAnsi="Arial" w:cs="Arial"/>
          <w:lang w:val="en-GB"/>
        </w:rPr>
        <w:t xml:space="preserve"> In addition, the potential of a payment incentive scheme is being investigated and if found to be viable will be incorporated into the policy.</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A318BD" w:rsidRPr="00956A70" w:rsidRDefault="00A318BD" w:rsidP="00956A70">
      <w:pPr>
        <w:pStyle w:val="Heading3"/>
        <w:rPr>
          <w:rFonts w:ascii="Arial" w:eastAsia="Times New Roman" w:hAnsi="Arial" w:cs="Arial"/>
          <w:color w:val="auto"/>
          <w:lang w:val="en-GB"/>
        </w:rPr>
      </w:pPr>
      <w:bookmarkStart w:id="123" w:name="_Toc286034114"/>
      <w:bookmarkStart w:id="124" w:name="_Toc286034705"/>
      <w:r w:rsidRPr="00956A70">
        <w:rPr>
          <w:rFonts w:ascii="Arial" w:eastAsia="Times New Roman" w:hAnsi="Arial" w:cs="Arial"/>
          <w:color w:val="auto"/>
          <w:lang w:val="en-GB"/>
        </w:rPr>
        <w:t>Asset Managem</w:t>
      </w:r>
      <w:r w:rsidR="0045067D">
        <w:rPr>
          <w:rFonts w:ascii="Arial" w:eastAsia="Times New Roman" w:hAnsi="Arial" w:cs="Arial"/>
          <w:color w:val="auto"/>
          <w:lang w:val="en-GB"/>
        </w:rPr>
        <w:t>ent</w:t>
      </w:r>
      <w:r w:rsidRPr="00956A70">
        <w:rPr>
          <w:rFonts w:ascii="Arial" w:eastAsia="Times New Roman" w:hAnsi="Arial" w:cs="Arial"/>
          <w:color w:val="auto"/>
          <w:lang w:val="en-GB"/>
        </w:rPr>
        <w:t xml:space="preserve"> Policy</w:t>
      </w:r>
      <w:bookmarkEnd w:id="123"/>
      <w:bookmarkEnd w:id="124"/>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204C89" w:rsidRDefault="00A318BD"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A proxy for asset consumption </w:t>
      </w:r>
      <w:r w:rsidR="00204C89" w:rsidRPr="00BA1351">
        <w:rPr>
          <w:rFonts w:ascii="Arial" w:eastAsia="Times New Roman" w:hAnsi="Arial" w:cs="Arial"/>
          <w:lang w:val="en-GB"/>
        </w:rPr>
        <w:t xml:space="preserve">can be considered </w:t>
      </w:r>
      <w:r w:rsidRPr="00BA1351">
        <w:rPr>
          <w:rFonts w:ascii="Arial" w:eastAsia="Times New Roman" w:hAnsi="Arial" w:cs="Arial"/>
          <w:lang w:val="en-GB"/>
        </w:rPr>
        <w:t>the level of deprec</w:t>
      </w:r>
      <w:r w:rsidR="00715386">
        <w:rPr>
          <w:rFonts w:ascii="Arial" w:eastAsia="Times New Roman" w:hAnsi="Arial" w:cs="Arial"/>
          <w:lang w:val="en-GB"/>
        </w:rPr>
        <w:t>i</w:t>
      </w:r>
      <w:r w:rsidRPr="00BA1351">
        <w:rPr>
          <w:rFonts w:ascii="Arial" w:eastAsia="Times New Roman" w:hAnsi="Arial" w:cs="Arial"/>
          <w:lang w:val="en-GB"/>
        </w:rPr>
        <w:t xml:space="preserve">ation each asset incurs on an annual basis. </w:t>
      </w:r>
      <w:r w:rsidR="00C37A36">
        <w:rPr>
          <w:rFonts w:ascii="Arial" w:eastAsia="Times New Roman" w:hAnsi="Arial" w:cs="Arial"/>
          <w:lang w:val="en-GB"/>
        </w:rPr>
        <w:t xml:space="preserve"> </w:t>
      </w:r>
      <w:r w:rsidRPr="00BA1351">
        <w:rPr>
          <w:rFonts w:ascii="Arial" w:eastAsia="Times New Roman" w:hAnsi="Arial" w:cs="Arial"/>
          <w:lang w:val="en-GB"/>
        </w:rPr>
        <w:t>Preserving the investment in existing infrastructure needs to be considered a significant strategy in ensuring the future sustainability of infrastructure</w:t>
      </w:r>
      <w:r w:rsidR="0045067D">
        <w:rPr>
          <w:rFonts w:ascii="Arial" w:eastAsia="Times New Roman" w:hAnsi="Arial" w:cs="Arial"/>
          <w:lang w:val="en-GB"/>
        </w:rPr>
        <w:t xml:space="preserve"> and the municipality’s</w:t>
      </w:r>
      <w:r w:rsidR="00715386">
        <w:rPr>
          <w:rFonts w:ascii="Arial" w:eastAsia="Times New Roman" w:hAnsi="Arial" w:cs="Arial"/>
          <w:lang w:val="en-GB"/>
        </w:rPr>
        <w:t xml:space="preserve"> revenue base</w:t>
      </w:r>
      <w:r w:rsidRPr="00BA1351">
        <w:rPr>
          <w:rFonts w:ascii="Arial" w:eastAsia="Times New Roman" w:hAnsi="Arial" w:cs="Arial"/>
          <w:lang w:val="en-GB"/>
        </w:rPr>
        <w:t>.</w:t>
      </w:r>
      <w:r w:rsidR="00204C89" w:rsidRPr="00BA1351">
        <w:rPr>
          <w:rFonts w:ascii="Arial" w:eastAsia="Times New Roman" w:hAnsi="Arial" w:cs="Arial"/>
          <w:lang w:val="en-GB"/>
        </w:rPr>
        <w:t xml:space="preserve"> </w:t>
      </w:r>
      <w:r w:rsidR="00C37A36">
        <w:rPr>
          <w:rFonts w:ascii="Arial" w:eastAsia="Times New Roman" w:hAnsi="Arial" w:cs="Arial"/>
          <w:lang w:val="en-GB"/>
        </w:rPr>
        <w:t xml:space="preserve"> </w:t>
      </w:r>
      <w:r w:rsidR="00204C89" w:rsidRPr="00BA1351">
        <w:rPr>
          <w:rFonts w:ascii="Arial" w:eastAsia="Times New Roman" w:hAnsi="Arial" w:cs="Arial"/>
          <w:lang w:val="en-GB"/>
        </w:rPr>
        <w:t xml:space="preserve">Within the framework, </w:t>
      </w:r>
      <w:r w:rsidR="00715386">
        <w:rPr>
          <w:rFonts w:ascii="Arial" w:eastAsia="Times New Roman" w:hAnsi="Arial" w:cs="Arial"/>
          <w:lang w:val="en-GB"/>
        </w:rPr>
        <w:t xml:space="preserve">the need for </w:t>
      </w:r>
      <w:r w:rsidR="00204C89" w:rsidRPr="00BA1351">
        <w:rPr>
          <w:rFonts w:ascii="Arial" w:eastAsia="Times New Roman" w:hAnsi="Arial" w:cs="Arial"/>
          <w:lang w:val="en-GB"/>
        </w:rPr>
        <w:t xml:space="preserve">asset renewal was considered </w:t>
      </w:r>
      <w:r w:rsidR="00715386">
        <w:rPr>
          <w:rFonts w:ascii="Arial" w:eastAsia="Times New Roman" w:hAnsi="Arial" w:cs="Arial"/>
          <w:lang w:val="en-GB"/>
        </w:rPr>
        <w:t xml:space="preserve">a priority </w:t>
      </w:r>
      <w:r w:rsidR="00204C89" w:rsidRPr="00BA1351">
        <w:rPr>
          <w:rFonts w:ascii="Arial" w:eastAsia="Times New Roman" w:hAnsi="Arial" w:cs="Arial"/>
          <w:lang w:val="en-GB"/>
        </w:rPr>
        <w:t>and hence the capital programme was determined based on renewal of current assets versus new asset construction.</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4D06A3" w:rsidRDefault="00204C89"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Further, continued </w:t>
      </w:r>
      <w:r w:rsidR="00A318BD" w:rsidRPr="00BA1351">
        <w:rPr>
          <w:rFonts w:ascii="Arial" w:eastAsia="Times New Roman" w:hAnsi="Arial" w:cs="Arial"/>
          <w:lang w:val="en-GB"/>
        </w:rPr>
        <w:t xml:space="preserve">improvements in technology generally allows many assets to be renewed at a lesser ‘real’ cost than the original construction cost.  Therefore, it is considered </w:t>
      </w:r>
      <w:r w:rsidR="00715386">
        <w:rPr>
          <w:rFonts w:ascii="Arial" w:eastAsia="Times New Roman" w:hAnsi="Arial" w:cs="Arial"/>
          <w:lang w:val="en-GB"/>
        </w:rPr>
        <w:t xml:space="preserve">prudent </w:t>
      </w:r>
      <w:r w:rsidR="00A318BD" w:rsidRPr="00BA1351">
        <w:rPr>
          <w:rFonts w:ascii="Arial" w:eastAsia="Times New Roman" w:hAnsi="Arial" w:cs="Arial"/>
          <w:lang w:val="en-GB"/>
        </w:rPr>
        <w:t xml:space="preserve">to allow for a slightly lesser continual level of annual renewal than the average annual depreciation.  </w:t>
      </w:r>
      <w:r w:rsidRPr="00BA1351">
        <w:rPr>
          <w:rFonts w:ascii="Arial" w:eastAsia="Times New Roman" w:hAnsi="Arial" w:cs="Arial"/>
          <w:lang w:val="en-GB"/>
        </w:rPr>
        <w:t>The Asset Management, Infrastructure and Funding Policy is therefore considered a strategic guide in ensuring a sustainable approach to asset renewal, repairs and maintenance and is utilised as a guide to the selection and prioritisation of individual capital projects.</w:t>
      </w:r>
      <w:r w:rsidR="00BA1351">
        <w:rPr>
          <w:rFonts w:ascii="Arial" w:eastAsia="Times New Roman" w:hAnsi="Arial" w:cs="Arial"/>
          <w:lang w:val="en-GB"/>
        </w:rPr>
        <w:t xml:space="preserve"> </w:t>
      </w:r>
      <w:r w:rsidR="00C37A36">
        <w:rPr>
          <w:rFonts w:ascii="Arial" w:eastAsia="Times New Roman" w:hAnsi="Arial" w:cs="Arial"/>
          <w:lang w:val="en-GB"/>
        </w:rPr>
        <w:t xml:space="preserve"> </w:t>
      </w:r>
      <w:r w:rsidR="004D06A3" w:rsidRPr="00BA1351">
        <w:rPr>
          <w:rFonts w:ascii="Arial" w:eastAsia="Times New Roman" w:hAnsi="Arial" w:cs="Arial"/>
          <w:lang w:val="en-GB"/>
        </w:rPr>
        <w:t>In addition the policy prescribes the accounting and administrative policies and procedures relating to property, plant and equipment (fixed</w:t>
      </w:r>
      <w:r w:rsidR="00665936" w:rsidRPr="00BA1351">
        <w:rPr>
          <w:rFonts w:ascii="Arial" w:eastAsia="Times New Roman" w:hAnsi="Arial" w:cs="Arial"/>
          <w:lang w:val="en-GB"/>
        </w:rPr>
        <w:t xml:space="preserve"> assets).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1F56D1" w:rsidP="00956A70">
      <w:pPr>
        <w:pStyle w:val="Heading3"/>
        <w:rPr>
          <w:rFonts w:ascii="Arial" w:eastAsia="Times New Roman" w:hAnsi="Arial" w:cs="Arial"/>
          <w:color w:val="auto"/>
          <w:lang w:val="en-GB"/>
        </w:rPr>
      </w:pPr>
      <w:bookmarkStart w:id="125" w:name="_Toc286034116"/>
      <w:bookmarkStart w:id="126" w:name="_Toc286034707"/>
      <w:r w:rsidRPr="00956A70">
        <w:rPr>
          <w:rFonts w:ascii="Arial" w:eastAsia="Times New Roman" w:hAnsi="Arial" w:cs="Arial"/>
          <w:color w:val="auto"/>
          <w:lang w:val="en-GB"/>
        </w:rPr>
        <w:t>Supply Chain Management Policy</w:t>
      </w:r>
      <w:bookmarkEnd w:id="125"/>
      <w:bookmarkEnd w:id="126"/>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Supply Chain Management Policy was adopted by Council </w:t>
      </w:r>
      <w:r w:rsidR="00A318BD" w:rsidRPr="00BA1351">
        <w:rPr>
          <w:rFonts w:ascii="Arial" w:eastAsia="Times New Roman" w:hAnsi="Arial" w:cs="Arial"/>
          <w:lang w:val="en-GB"/>
        </w:rPr>
        <w:t>in</w:t>
      </w:r>
      <w:r w:rsidRPr="00BA1351">
        <w:rPr>
          <w:rFonts w:ascii="Arial" w:eastAsia="Times New Roman" w:hAnsi="Arial" w:cs="Arial"/>
          <w:lang w:val="en-GB"/>
        </w:rPr>
        <w:t xml:space="preserve"> </w:t>
      </w:r>
      <w:r w:rsidR="004454A3">
        <w:rPr>
          <w:rFonts w:ascii="Arial" w:eastAsia="Times New Roman" w:hAnsi="Arial" w:cs="Arial"/>
          <w:lang w:val="en-GB"/>
        </w:rPr>
        <w:t>2018/19</w:t>
      </w:r>
      <w:r w:rsidR="00A318BD" w:rsidRPr="00BA1351">
        <w:rPr>
          <w:rFonts w:ascii="Arial" w:eastAsia="Times New Roman" w:hAnsi="Arial" w:cs="Arial"/>
          <w:lang w:val="en-GB"/>
        </w:rPr>
        <w:t>.</w:t>
      </w:r>
      <w:r w:rsidRPr="00BA1351">
        <w:rPr>
          <w:rFonts w:ascii="Arial" w:eastAsia="Times New Roman" w:hAnsi="Arial" w:cs="Arial"/>
          <w:lang w:val="en-GB"/>
        </w:rPr>
        <w:t xml:space="preserve"> </w:t>
      </w:r>
      <w:r w:rsidR="00A318BD" w:rsidRPr="00BA1351">
        <w:rPr>
          <w:rFonts w:ascii="Arial" w:eastAsia="Times New Roman" w:hAnsi="Arial" w:cs="Arial"/>
          <w:lang w:val="en-GB"/>
        </w:rPr>
        <w:t xml:space="preserve"> </w:t>
      </w:r>
      <w:r w:rsidRPr="00BA1351">
        <w:rPr>
          <w:rFonts w:ascii="Arial" w:eastAsia="Times New Roman" w:hAnsi="Arial" w:cs="Arial"/>
          <w:lang w:val="en-GB"/>
        </w:rPr>
        <w:t>An amended policy will be cons</w:t>
      </w:r>
      <w:r w:rsidR="00204C89" w:rsidRPr="00BA1351">
        <w:rPr>
          <w:rFonts w:ascii="Arial" w:eastAsia="Times New Roman" w:hAnsi="Arial" w:cs="Arial"/>
          <w:lang w:val="en-GB"/>
        </w:rPr>
        <w:t>idered by Council in due course of which the amendments will be extensively consulted on.</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1F56D1" w:rsidP="00956A70">
      <w:pPr>
        <w:pStyle w:val="Heading3"/>
        <w:rPr>
          <w:rFonts w:ascii="Arial" w:eastAsia="Times New Roman" w:hAnsi="Arial" w:cs="Arial"/>
          <w:color w:val="auto"/>
          <w:lang w:val="en-GB"/>
        </w:rPr>
      </w:pPr>
      <w:bookmarkStart w:id="127" w:name="_Toc286034117"/>
      <w:bookmarkStart w:id="128" w:name="_Toc286034708"/>
      <w:r w:rsidRPr="00956A70">
        <w:rPr>
          <w:rFonts w:ascii="Arial" w:eastAsia="Times New Roman" w:hAnsi="Arial" w:cs="Arial"/>
          <w:color w:val="auto"/>
          <w:lang w:val="en-GB"/>
        </w:rPr>
        <w:t>Budget</w:t>
      </w:r>
      <w:r w:rsidR="00204C89" w:rsidRPr="00956A70">
        <w:rPr>
          <w:rFonts w:ascii="Arial" w:eastAsia="Times New Roman" w:hAnsi="Arial" w:cs="Arial"/>
          <w:color w:val="auto"/>
          <w:lang w:val="en-GB"/>
        </w:rPr>
        <w:t xml:space="preserve"> and Virement </w:t>
      </w:r>
      <w:r w:rsidRPr="00956A70">
        <w:rPr>
          <w:rFonts w:ascii="Arial" w:eastAsia="Times New Roman" w:hAnsi="Arial" w:cs="Arial"/>
          <w:color w:val="auto"/>
          <w:lang w:val="en-GB"/>
        </w:rPr>
        <w:t>Policy</w:t>
      </w:r>
      <w:bookmarkEnd w:id="127"/>
      <w:bookmarkEnd w:id="128"/>
    </w:p>
    <w:p w:rsidR="00BA4FB8" w:rsidRDefault="00BA4FB8" w:rsidP="00842C4F">
      <w:pPr>
        <w:keepNext/>
        <w:autoSpaceDE w:val="0"/>
        <w:autoSpaceDN w:val="0"/>
        <w:adjustRightInd w:val="0"/>
        <w:spacing w:after="0" w:line="240" w:lineRule="auto"/>
        <w:jc w:val="both"/>
        <w:rPr>
          <w:rFonts w:ascii="Arial" w:eastAsia="Times New Roman" w:hAnsi="Arial" w:cs="Arial"/>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The Budget</w:t>
      </w:r>
      <w:r w:rsidR="00204C89" w:rsidRPr="00BA1351">
        <w:rPr>
          <w:rFonts w:ascii="Arial" w:eastAsia="Times New Roman" w:hAnsi="Arial" w:cs="Arial"/>
          <w:lang w:val="en-GB"/>
        </w:rPr>
        <w:t xml:space="preserve"> and Virement </w:t>
      </w:r>
      <w:r w:rsidRPr="00BA1351">
        <w:rPr>
          <w:rFonts w:ascii="Arial" w:eastAsia="Times New Roman" w:hAnsi="Arial" w:cs="Arial"/>
          <w:lang w:val="en-GB"/>
        </w:rPr>
        <w:t xml:space="preserve">Policy </w:t>
      </w:r>
      <w:r w:rsidR="00204C89" w:rsidRPr="00BA1351">
        <w:rPr>
          <w:rFonts w:ascii="Arial" w:eastAsia="Times New Roman" w:hAnsi="Arial" w:cs="Arial"/>
          <w:lang w:val="en-GB"/>
        </w:rPr>
        <w:t>aims to empower senior managers with an efficient financial and budgetary amendment and control system to ensure optimum service delivery within the legislative fram</w:t>
      </w:r>
      <w:r w:rsidR="0045067D">
        <w:rPr>
          <w:rFonts w:ascii="Arial" w:eastAsia="Times New Roman" w:hAnsi="Arial" w:cs="Arial"/>
          <w:lang w:val="en-GB"/>
        </w:rPr>
        <w:t>ework of the MFMA and the municipality’s</w:t>
      </w:r>
      <w:r w:rsidR="00204C89" w:rsidRPr="00BA1351">
        <w:rPr>
          <w:rFonts w:ascii="Arial" w:eastAsia="Times New Roman" w:hAnsi="Arial" w:cs="Arial"/>
          <w:lang w:val="en-GB"/>
        </w:rPr>
        <w:t xml:space="preserve"> system of delegations.  The Budget and Virement Policy was approved by Council in </w:t>
      </w:r>
      <w:r w:rsidR="004454A3">
        <w:rPr>
          <w:rFonts w:ascii="Arial" w:eastAsia="Times New Roman" w:hAnsi="Arial" w:cs="Arial"/>
          <w:lang w:val="en-GB"/>
        </w:rPr>
        <w:t>2018/19</w:t>
      </w:r>
      <w:r w:rsidR="0045067D">
        <w:rPr>
          <w:rFonts w:ascii="Arial" w:eastAsia="Times New Roman" w:hAnsi="Arial" w:cs="Arial"/>
          <w:lang w:val="en-GB"/>
        </w:rPr>
        <w:t>.</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956A70" w:rsidRDefault="004D06A3" w:rsidP="00956A70">
      <w:pPr>
        <w:pStyle w:val="Heading3"/>
        <w:rPr>
          <w:rFonts w:ascii="Arial" w:eastAsia="Times New Roman" w:hAnsi="Arial" w:cs="Arial"/>
          <w:color w:val="auto"/>
          <w:lang w:val="en-GB"/>
        </w:rPr>
      </w:pPr>
      <w:bookmarkStart w:id="129" w:name="_Toc286034118"/>
      <w:bookmarkStart w:id="130" w:name="_Toc286034709"/>
      <w:r w:rsidRPr="00956A70">
        <w:rPr>
          <w:rFonts w:ascii="Arial" w:eastAsia="Times New Roman" w:hAnsi="Arial" w:cs="Arial"/>
          <w:color w:val="auto"/>
          <w:lang w:val="en-GB"/>
        </w:rPr>
        <w:t>Cash Management and Investment Policy</w:t>
      </w:r>
      <w:bookmarkEnd w:id="129"/>
      <w:bookmarkEnd w:id="130"/>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1F56D1" w:rsidRDefault="0045067D" w:rsidP="00BA1351">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The Municipality’s</w:t>
      </w:r>
      <w:r w:rsidR="004D06A3" w:rsidRPr="00BA1351">
        <w:rPr>
          <w:rFonts w:ascii="Arial" w:eastAsia="Times New Roman" w:hAnsi="Arial" w:cs="Arial"/>
          <w:lang w:val="en-GB"/>
        </w:rPr>
        <w:t xml:space="preserve"> Cash Management and Investment Policy</w:t>
      </w:r>
      <w:r w:rsidR="00C11B68">
        <w:rPr>
          <w:rFonts w:ascii="Arial" w:eastAsia="Times New Roman" w:hAnsi="Arial" w:cs="Arial"/>
          <w:lang w:val="en-GB"/>
        </w:rPr>
        <w:t xml:space="preserve"> was</w:t>
      </w:r>
      <w:r w:rsidR="00715386">
        <w:rPr>
          <w:rFonts w:ascii="Arial" w:eastAsia="Times New Roman" w:hAnsi="Arial" w:cs="Arial"/>
          <w:lang w:val="en-GB"/>
        </w:rPr>
        <w:t xml:space="preserve"> amended </w:t>
      </w:r>
      <w:r w:rsidR="00BA4FB8">
        <w:rPr>
          <w:rFonts w:ascii="Arial" w:eastAsia="Times New Roman" w:hAnsi="Arial" w:cs="Arial"/>
          <w:lang w:val="en-GB"/>
        </w:rPr>
        <w:t xml:space="preserve">by </w:t>
      </w:r>
      <w:r w:rsidR="004D06A3" w:rsidRPr="00BA1351">
        <w:rPr>
          <w:rFonts w:ascii="Arial" w:eastAsia="Times New Roman" w:hAnsi="Arial" w:cs="Arial"/>
          <w:lang w:val="en-GB"/>
        </w:rPr>
        <w:t>Council in January 201</w:t>
      </w:r>
      <w:r w:rsidR="00962C25">
        <w:rPr>
          <w:rFonts w:ascii="Arial" w:eastAsia="Times New Roman" w:hAnsi="Arial" w:cs="Arial"/>
          <w:lang w:val="en-GB"/>
        </w:rPr>
        <w:t>7</w:t>
      </w:r>
      <w:r w:rsidR="004D06A3" w:rsidRPr="00BA1351">
        <w:rPr>
          <w:rFonts w:ascii="Arial" w:eastAsia="Times New Roman" w:hAnsi="Arial" w:cs="Arial"/>
          <w:lang w:val="en-GB"/>
        </w:rPr>
        <w:t>. The aim of the pol</w:t>
      </w:r>
      <w:r>
        <w:rPr>
          <w:rFonts w:ascii="Arial" w:eastAsia="Times New Roman" w:hAnsi="Arial" w:cs="Arial"/>
          <w:lang w:val="en-GB"/>
        </w:rPr>
        <w:t>icy is to ensure that the Municipality’s</w:t>
      </w:r>
      <w:r w:rsidR="004D06A3" w:rsidRPr="00BA1351">
        <w:rPr>
          <w:rFonts w:ascii="Arial" w:eastAsia="Times New Roman" w:hAnsi="Arial" w:cs="Arial"/>
          <w:lang w:val="en-GB"/>
        </w:rPr>
        <w:t xml:space="preserve"> surplus cash and investments are adequately manage</w:t>
      </w:r>
      <w:r w:rsidR="00715386">
        <w:rPr>
          <w:rFonts w:ascii="Arial" w:eastAsia="Times New Roman" w:hAnsi="Arial" w:cs="Arial"/>
          <w:lang w:val="en-GB"/>
        </w:rPr>
        <w:t xml:space="preserve">d, especially the funds set aside for the </w:t>
      </w:r>
      <w:r w:rsidR="004D06A3" w:rsidRPr="00BA1351">
        <w:rPr>
          <w:rFonts w:ascii="Arial" w:eastAsia="Times New Roman" w:hAnsi="Arial" w:cs="Arial"/>
          <w:lang w:val="en-GB"/>
        </w:rPr>
        <w:t xml:space="preserve">cash backing </w:t>
      </w:r>
      <w:r w:rsidR="00715386">
        <w:rPr>
          <w:rFonts w:ascii="Arial" w:eastAsia="Times New Roman" w:hAnsi="Arial" w:cs="Arial"/>
          <w:lang w:val="en-GB"/>
        </w:rPr>
        <w:t xml:space="preserve">of </w:t>
      </w:r>
      <w:r w:rsidR="004D06A3" w:rsidRPr="00BA1351">
        <w:rPr>
          <w:rFonts w:ascii="Arial" w:eastAsia="Times New Roman" w:hAnsi="Arial" w:cs="Arial"/>
          <w:lang w:val="en-GB"/>
        </w:rPr>
        <w:t>certain reserves.</w:t>
      </w:r>
      <w:r w:rsidR="00C37A36">
        <w:rPr>
          <w:rFonts w:ascii="Arial" w:eastAsia="Times New Roman" w:hAnsi="Arial" w:cs="Arial"/>
          <w:lang w:val="en-GB"/>
        </w:rPr>
        <w:t xml:space="preserve"> </w:t>
      </w:r>
      <w:r w:rsidR="004D06A3" w:rsidRPr="00BA1351">
        <w:rPr>
          <w:rFonts w:ascii="Arial" w:eastAsia="Times New Roman" w:hAnsi="Arial" w:cs="Arial"/>
          <w:lang w:val="en-GB"/>
        </w:rPr>
        <w:t xml:space="preserve"> The policy details the minimum cash and cash equivalents required at any point in time and introduces time frames </w:t>
      </w:r>
      <w:r w:rsidR="00BA1351">
        <w:rPr>
          <w:rFonts w:ascii="Arial" w:eastAsia="Times New Roman" w:hAnsi="Arial" w:cs="Arial"/>
          <w:lang w:val="en-GB"/>
        </w:rPr>
        <w:t>to achieve certain benchmarks.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665936" w:rsidRPr="00956A70" w:rsidRDefault="00665936" w:rsidP="00956A70">
      <w:pPr>
        <w:pStyle w:val="Heading3"/>
        <w:rPr>
          <w:rFonts w:ascii="Arial" w:eastAsia="Times New Roman" w:hAnsi="Arial" w:cs="Arial"/>
          <w:color w:val="auto"/>
          <w:lang w:val="en-GB"/>
        </w:rPr>
      </w:pPr>
      <w:bookmarkStart w:id="131" w:name="_Toc286034119"/>
      <w:bookmarkStart w:id="132" w:name="_Toc286034710"/>
      <w:r w:rsidRPr="00956A70">
        <w:rPr>
          <w:rFonts w:ascii="Arial" w:eastAsia="Times New Roman" w:hAnsi="Arial" w:cs="Arial"/>
          <w:color w:val="auto"/>
          <w:lang w:val="en-GB"/>
        </w:rPr>
        <w:t>Tariff Policies</w:t>
      </w:r>
      <w:bookmarkEnd w:id="131"/>
      <w:bookmarkEnd w:id="132"/>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1F56D1" w:rsidRDefault="0045067D" w:rsidP="00BA1351">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The Municipality’s</w:t>
      </w:r>
      <w:r w:rsidR="00665936" w:rsidRPr="00BA1351">
        <w:rPr>
          <w:rFonts w:ascii="Arial" w:eastAsia="Times New Roman" w:hAnsi="Arial" w:cs="Arial"/>
          <w:lang w:val="en-GB"/>
        </w:rPr>
        <w:t xml:space="preserve"> </w:t>
      </w:r>
      <w:r w:rsidR="001F56D1" w:rsidRPr="00BA1351">
        <w:rPr>
          <w:rFonts w:ascii="Arial" w:eastAsia="Times New Roman" w:hAnsi="Arial" w:cs="Arial"/>
          <w:lang w:val="en-GB"/>
        </w:rPr>
        <w:t xml:space="preserve">tariff policies provide a broad framework within which the Council can determine fair, transparent and affordable charges that also promote sustainable service </w:t>
      </w:r>
      <w:r w:rsidR="00665936" w:rsidRPr="00BA1351">
        <w:rPr>
          <w:rFonts w:ascii="Arial" w:eastAsia="Times New Roman" w:hAnsi="Arial" w:cs="Arial"/>
          <w:lang w:val="en-GB"/>
        </w:rPr>
        <w:t xml:space="preserve">delivery. </w:t>
      </w:r>
      <w:r w:rsidR="00C37A36">
        <w:rPr>
          <w:rFonts w:ascii="Arial" w:eastAsia="Times New Roman" w:hAnsi="Arial" w:cs="Arial"/>
          <w:lang w:val="en-GB"/>
        </w:rPr>
        <w:t xml:space="preserve"> </w:t>
      </w:r>
      <w:r w:rsidR="001F56D1" w:rsidRPr="00BA1351">
        <w:rPr>
          <w:rFonts w:ascii="Arial" w:eastAsia="Times New Roman" w:hAnsi="Arial" w:cs="Arial"/>
          <w:lang w:val="en-GB"/>
        </w:rPr>
        <w:t>The policies have been approved on various dates and a consolidated tariff policy is envisaged to be compiled for eas</w:t>
      </w:r>
      <w:r w:rsidR="00665936" w:rsidRPr="00BA1351">
        <w:rPr>
          <w:rFonts w:ascii="Arial" w:eastAsia="Times New Roman" w:hAnsi="Arial" w:cs="Arial"/>
          <w:lang w:val="en-GB"/>
        </w:rPr>
        <w:t>e</w:t>
      </w:r>
      <w:r w:rsidR="001F56D1" w:rsidRPr="00BA1351">
        <w:rPr>
          <w:rFonts w:ascii="Arial" w:eastAsia="Times New Roman" w:hAnsi="Arial" w:cs="Arial"/>
          <w:lang w:val="en-GB"/>
        </w:rPr>
        <w:t xml:space="preserve"> </w:t>
      </w:r>
      <w:r w:rsidR="00665936" w:rsidRPr="00BA1351">
        <w:rPr>
          <w:rFonts w:ascii="Arial" w:eastAsia="Times New Roman" w:hAnsi="Arial" w:cs="Arial"/>
          <w:lang w:val="en-GB"/>
        </w:rPr>
        <w:t xml:space="preserve">of </w:t>
      </w:r>
      <w:r w:rsidR="001F56D1" w:rsidRPr="00BA1351">
        <w:rPr>
          <w:rFonts w:ascii="Arial" w:eastAsia="Times New Roman" w:hAnsi="Arial" w:cs="Arial"/>
          <w:lang w:val="en-GB"/>
        </w:rPr>
        <w:t>administration</w:t>
      </w:r>
      <w:r w:rsidR="00665936" w:rsidRPr="00BA1351">
        <w:rPr>
          <w:rFonts w:ascii="Arial" w:eastAsia="Times New Roman" w:hAnsi="Arial" w:cs="Arial"/>
          <w:lang w:val="en-GB"/>
        </w:rPr>
        <w:t xml:space="preserve"> and implementation</w:t>
      </w:r>
      <w:r w:rsidR="00715386">
        <w:rPr>
          <w:rFonts w:ascii="Arial" w:eastAsia="Times New Roman" w:hAnsi="Arial" w:cs="Arial"/>
          <w:lang w:val="en-GB"/>
        </w:rPr>
        <w:t xml:space="preserve"> of the next two years</w:t>
      </w:r>
      <w:r w:rsidR="00665936" w:rsidRPr="00BA1351">
        <w:rPr>
          <w:rFonts w:ascii="Arial" w:eastAsia="Times New Roman" w:hAnsi="Arial" w:cs="Arial"/>
          <w:lang w:val="en-GB"/>
        </w:rPr>
        <w:t>.</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665936" w:rsidRPr="00956A70" w:rsidRDefault="00665936" w:rsidP="00956A70">
      <w:pPr>
        <w:pStyle w:val="Heading3"/>
        <w:rPr>
          <w:rFonts w:ascii="Arial" w:eastAsia="Times New Roman" w:hAnsi="Arial" w:cs="Arial"/>
          <w:color w:val="auto"/>
          <w:lang w:val="en-GB"/>
        </w:rPr>
      </w:pPr>
      <w:bookmarkStart w:id="133" w:name="_Toc286034120"/>
      <w:bookmarkStart w:id="134" w:name="_Toc286034711"/>
      <w:r w:rsidRPr="00956A70">
        <w:rPr>
          <w:rFonts w:ascii="Arial" w:eastAsia="Times New Roman" w:hAnsi="Arial" w:cs="Arial"/>
          <w:color w:val="auto"/>
          <w:lang w:val="en-GB"/>
        </w:rPr>
        <w:t>Financial Modelling and Scenario Planning Policy</w:t>
      </w:r>
      <w:bookmarkEnd w:id="133"/>
      <w:bookmarkEnd w:id="134"/>
    </w:p>
    <w:p w:rsidR="00BA1351" w:rsidRPr="00BA1351" w:rsidRDefault="00BA1351" w:rsidP="00BA1351">
      <w:pPr>
        <w:autoSpaceDE w:val="0"/>
        <w:autoSpaceDN w:val="0"/>
        <w:adjustRightInd w:val="0"/>
        <w:spacing w:after="0" w:line="240" w:lineRule="auto"/>
        <w:jc w:val="both"/>
        <w:rPr>
          <w:rFonts w:ascii="Arial" w:eastAsia="Times New Roman" w:hAnsi="Arial" w:cs="Arial"/>
          <w:b/>
          <w:lang w:val="en-GB"/>
        </w:rPr>
      </w:pPr>
    </w:p>
    <w:p w:rsidR="001F56D1" w:rsidRDefault="001F56D1"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The </w:t>
      </w:r>
      <w:r w:rsidR="00665936" w:rsidRPr="00BA1351">
        <w:rPr>
          <w:rFonts w:ascii="Arial" w:eastAsia="Times New Roman" w:hAnsi="Arial" w:cs="Arial"/>
          <w:lang w:val="en-GB"/>
        </w:rPr>
        <w:t xml:space="preserve">Financial Modelling and Scenario </w:t>
      </w:r>
      <w:r w:rsidR="00715386">
        <w:rPr>
          <w:rFonts w:ascii="Arial" w:eastAsia="Times New Roman" w:hAnsi="Arial" w:cs="Arial"/>
          <w:lang w:val="en-GB"/>
        </w:rPr>
        <w:t xml:space="preserve">Planning </w:t>
      </w:r>
      <w:r w:rsidR="00665936" w:rsidRPr="00BA1351">
        <w:rPr>
          <w:rFonts w:ascii="Arial" w:eastAsia="Times New Roman" w:hAnsi="Arial" w:cs="Arial"/>
          <w:lang w:val="en-GB"/>
        </w:rPr>
        <w:t>Policy h</w:t>
      </w:r>
      <w:r w:rsidRPr="00BA1351">
        <w:rPr>
          <w:rFonts w:ascii="Arial" w:eastAsia="Times New Roman" w:hAnsi="Arial" w:cs="Arial"/>
          <w:lang w:val="en-GB"/>
        </w:rPr>
        <w:t xml:space="preserve">as </w:t>
      </w:r>
      <w:r w:rsidR="00665936" w:rsidRPr="00BA1351">
        <w:rPr>
          <w:rFonts w:ascii="Arial" w:eastAsia="Times New Roman" w:hAnsi="Arial" w:cs="Arial"/>
          <w:lang w:val="en-GB"/>
        </w:rPr>
        <w:t xml:space="preserve">directly </w:t>
      </w:r>
      <w:r w:rsidRPr="00BA1351">
        <w:rPr>
          <w:rFonts w:ascii="Arial" w:eastAsia="Times New Roman" w:hAnsi="Arial" w:cs="Arial"/>
          <w:lang w:val="en-GB"/>
        </w:rPr>
        <w:t xml:space="preserve">informed the compilation of the </w:t>
      </w:r>
      <w:r w:rsidR="004454A3">
        <w:rPr>
          <w:rFonts w:ascii="Arial" w:eastAsia="Times New Roman" w:hAnsi="Arial" w:cs="Arial"/>
          <w:lang w:val="en-GB"/>
        </w:rPr>
        <w:t>2019/20</w:t>
      </w:r>
      <w:r w:rsidRPr="00BA1351">
        <w:rPr>
          <w:rFonts w:ascii="Arial" w:eastAsia="Times New Roman" w:hAnsi="Arial" w:cs="Arial"/>
          <w:lang w:val="en-GB"/>
        </w:rPr>
        <w:t xml:space="preserve"> MTREF with the emphasis on affordability and long-term sustainability.</w:t>
      </w:r>
      <w:r w:rsidR="00C37A36">
        <w:rPr>
          <w:rFonts w:ascii="Arial" w:eastAsia="Times New Roman" w:hAnsi="Arial" w:cs="Arial"/>
          <w:lang w:val="en-GB"/>
        </w:rPr>
        <w:t xml:space="preserve"> </w:t>
      </w:r>
      <w:r w:rsidR="00665936" w:rsidRPr="00BA1351">
        <w:rPr>
          <w:rFonts w:ascii="Arial" w:eastAsia="Times New Roman" w:hAnsi="Arial" w:cs="Arial"/>
          <w:lang w:val="en-GB"/>
        </w:rPr>
        <w:t xml:space="preserve"> The policy dictates the approach to longer term financial modelling</w:t>
      </w:r>
      <w:r w:rsidR="00715386">
        <w:rPr>
          <w:rFonts w:ascii="Arial" w:eastAsia="Times New Roman" w:hAnsi="Arial" w:cs="Arial"/>
          <w:lang w:val="en-GB"/>
        </w:rPr>
        <w:t>.</w:t>
      </w:r>
      <w:r w:rsidR="00C37A36">
        <w:rPr>
          <w:rFonts w:ascii="Arial" w:eastAsia="Times New Roman" w:hAnsi="Arial" w:cs="Arial"/>
          <w:lang w:val="en-GB"/>
        </w:rPr>
        <w:t xml:space="preserve"> </w:t>
      </w:r>
      <w:r w:rsidR="00715386">
        <w:rPr>
          <w:rFonts w:ascii="Arial" w:eastAsia="Times New Roman" w:hAnsi="Arial" w:cs="Arial"/>
          <w:lang w:val="en-GB"/>
        </w:rPr>
        <w:t xml:space="preserve"> The outcomes are </w:t>
      </w:r>
      <w:r w:rsidR="00665936" w:rsidRPr="00BA1351">
        <w:rPr>
          <w:rFonts w:ascii="Arial" w:eastAsia="Times New Roman" w:hAnsi="Arial" w:cs="Arial"/>
          <w:lang w:val="en-GB"/>
        </w:rPr>
        <w:t>then filtered into the budget process.</w:t>
      </w:r>
      <w:r w:rsidR="00C37A36">
        <w:rPr>
          <w:rFonts w:ascii="Arial" w:eastAsia="Times New Roman" w:hAnsi="Arial" w:cs="Arial"/>
          <w:lang w:val="en-GB"/>
        </w:rPr>
        <w:t xml:space="preserve"> </w:t>
      </w:r>
      <w:r w:rsidR="00665936" w:rsidRPr="00BA1351">
        <w:rPr>
          <w:rFonts w:ascii="Arial" w:eastAsia="Times New Roman" w:hAnsi="Arial" w:cs="Arial"/>
          <w:lang w:val="en-GB"/>
        </w:rPr>
        <w:t xml:space="preserve"> The model and scenario planning outcomes are taken to Council every November and </w:t>
      </w:r>
      <w:r w:rsidR="00835068">
        <w:rPr>
          <w:rFonts w:ascii="Arial" w:eastAsia="Times New Roman" w:hAnsi="Arial" w:cs="Arial"/>
          <w:lang w:val="en-GB"/>
        </w:rPr>
        <w:t xml:space="preserve">then </w:t>
      </w:r>
      <w:r w:rsidR="00665936" w:rsidRPr="00BA1351">
        <w:rPr>
          <w:rFonts w:ascii="Arial" w:eastAsia="Times New Roman" w:hAnsi="Arial" w:cs="Arial"/>
          <w:lang w:val="en-GB"/>
        </w:rPr>
        <w:t>translate into recommendation</w:t>
      </w:r>
      <w:r w:rsidR="00835068">
        <w:rPr>
          <w:rFonts w:ascii="Arial" w:eastAsia="Times New Roman" w:hAnsi="Arial" w:cs="Arial"/>
          <w:lang w:val="en-GB"/>
        </w:rPr>
        <w:t xml:space="preserve">s for the </w:t>
      </w:r>
      <w:r w:rsidR="00665936" w:rsidRPr="00BA1351">
        <w:rPr>
          <w:rFonts w:ascii="Arial" w:eastAsia="Times New Roman" w:hAnsi="Arial" w:cs="Arial"/>
          <w:lang w:val="en-GB"/>
        </w:rPr>
        <w:t xml:space="preserve">budget guidelines </w:t>
      </w:r>
      <w:r w:rsidR="00835068">
        <w:rPr>
          <w:rFonts w:ascii="Arial" w:eastAsia="Times New Roman" w:hAnsi="Arial" w:cs="Arial"/>
          <w:lang w:val="en-GB"/>
        </w:rPr>
        <w:t xml:space="preserve">that inform </w:t>
      </w:r>
      <w:r w:rsidR="00665936" w:rsidRPr="00BA1351">
        <w:rPr>
          <w:rFonts w:ascii="Arial" w:eastAsia="Times New Roman" w:hAnsi="Arial" w:cs="Arial"/>
          <w:lang w:val="en-GB"/>
        </w:rPr>
        <w:t xml:space="preserve">the compilation of the next MTREF. </w:t>
      </w:r>
      <w:r w:rsidR="00067CE1">
        <w:rPr>
          <w:rFonts w:ascii="Arial" w:eastAsia="Times New Roman" w:hAnsi="Arial" w:cs="Arial"/>
          <w:lang w:val="en-GB"/>
        </w:rPr>
        <w:t xml:space="preserve"> </w:t>
      </w:r>
      <w:r w:rsidR="00665936" w:rsidRPr="00BA1351">
        <w:rPr>
          <w:rFonts w:ascii="Arial" w:eastAsia="Times New Roman" w:hAnsi="Arial" w:cs="Arial"/>
          <w:lang w:val="en-GB"/>
        </w:rPr>
        <w:t xml:space="preserve">One of the salient features of the policy is the </w:t>
      </w:r>
      <w:r w:rsidR="00067CE1">
        <w:rPr>
          <w:rFonts w:ascii="Arial" w:eastAsia="Times New Roman" w:hAnsi="Arial" w:cs="Arial"/>
          <w:lang w:val="en-GB"/>
        </w:rPr>
        <w:t xml:space="preserve">emphasis on </w:t>
      </w:r>
      <w:r w:rsidR="00665936" w:rsidRPr="00BA1351">
        <w:rPr>
          <w:rFonts w:ascii="Arial" w:eastAsia="Times New Roman" w:hAnsi="Arial" w:cs="Arial"/>
          <w:lang w:val="en-GB"/>
        </w:rPr>
        <w:t xml:space="preserve">financial sustainability. </w:t>
      </w:r>
      <w:r w:rsidR="00067CE1">
        <w:rPr>
          <w:rFonts w:ascii="Arial" w:eastAsia="Times New Roman" w:hAnsi="Arial" w:cs="Arial"/>
          <w:lang w:val="en-GB"/>
        </w:rPr>
        <w:t xml:space="preserve"> </w:t>
      </w:r>
      <w:r w:rsidR="00665936" w:rsidRPr="00BA1351">
        <w:rPr>
          <w:rFonts w:ascii="Arial" w:eastAsia="Times New Roman" w:hAnsi="Arial" w:cs="Arial"/>
          <w:lang w:val="en-GB"/>
        </w:rPr>
        <w:t>Amongst others, the following has been modelled as part of the financial modelling and scenario planning process: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Approved 20</w:t>
      </w:r>
      <w:r w:rsidR="004454A3">
        <w:rPr>
          <w:rFonts w:ascii="Arial" w:hAnsi="Arial" w:cs="Arial"/>
        </w:rPr>
        <w:t>18/19</w:t>
      </w:r>
      <w:r w:rsidRPr="00A73F84">
        <w:rPr>
          <w:rFonts w:ascii="Arial" w:hAnsi="Arial" w:cs="Arial"/>
        </w:rPr>
        <w:t xml:space="preserve"> Adjustments Budget;</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Cash Flow Management Intervention</w:t>
      </w:r>
      <w:r w:rsidR="00953F07" w:rsidRPr="00A73F84">
        <w:rPr>
          <w:rFonts w:ascii="Arial" w:hAnsi="Arial" w:cs="Arial"/>
        </w:rPr>
        <w:t>s,</w:t>
      </w:r>
      <w:r w:rsidRPr="00A73F84">
        <w:rPr>
          <w:rFonts w:ascii="Arial" w:hAnsi="Arial" w:cs="Arial"/>
        </w:rPr>
        <w:t xml:space="preserve"> Initiatives and Strateg</w:t>
      </w:r>
      <w:r w:rsidR="00953F07" w:rsidRPr="00A73F84">
        <w:rPr>
          <w:rFonts w:ascii="Arial" w:hAnsi="Arial" w:cs="Arial"/>
        </w:rPr>
        <w:t>ies (including the cash backing of reserves);</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Economic climate and trends (</w:t>
      </w:r>
      <w:proofErr w:type="spellStart"/>
      <w:r w:rsidRPr="00A73F84">
        <w:rPr>
          <w:rFonts w:ascii="Arial" w:hAnsi="Arial" w:cs="Arial"/>
        </w:rPr>
        <w:t>i.e</w:t>
      </w:r>
      <w:proofErr w:type="spellEnd"/>
      <w:r w:rsidRPr="00A73F84">
        <w:rPr>
          <w:rFonts w:ascii="Arial" w:hAnsi="Arial" w:cs="Arial"/>
        </w:rPr>
        <w:t xml:space="preserve"> Inflation</w:t>
      </w:r>
      <w:r w:rsidR="00953F07" w:rsidRPr="00A73F84">
        <w:rPr>
          <w:rFonts w:ascii="Arial" w:hAnsi="Arial" w:cs="Arial"/>
        </w:rPr>
        <w:t>, household debt levels, indigent factors, growth, recessionary implications</w:t>
      </w:r>
      <w:r w:rsidRPr="00A73F84">
        <w:rPr>
          <w:rFonts w:ascii="Arial" w:hAnsi="Arial" w:cs="Arial"/>
        </w:rPr>
        <w:t>);</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Loan and investment possibilities;</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Performance trends;</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Tariff Increases;</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The ability of the community to pay for services</w:t>
      </w:r>
      <w:r w:rsidR="00953F07" w:rsidRPr="00A73F84">
        <w:rPr>
          <w:rFonts w:ascii="Arial" w:hAnsi="Arial" w:cs="Arial"/>
        </w:rPr>
        <w:t xml:space="preserve"> (affordability)</w:t>
      </w:r>
      <w:r w:rsidRPr="00A73F84">
        <w:rPr>
          <w:rFonts w:ascii="Arial" w:hAnsi="Arial" w:cs="Arial"/>
        </w:rPr>
        <w:t>;</w:t>
      </w:r>
    </w:p>
    <w:p w:rsidR="001F56D1"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Policy priorities;</w:t>
      </w:r>
    </w:p>
    <w:p w:rsidR="00953F07" w:rsidRPr="00A73F84"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Improved and sustainable service delivery</w:t>
      </w:r>
      <w:r w:rsidR="00953F07" w:rsidRPr="00A73F84">
        <w:rPr>
          <w:rFonts w:ascii="Arial" w:hAnsi="Arial" w:cs="Arial"/>
        </w:rPr>
        <w:t>; and</w:t>
      </w:r>
    </w:p>
    <w:p w:rsidR="001F56D1" w:rsidRPr="00A73F84" w:rsidRDefault="00953F07"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 xml:space="preserve">Debtor </w:t>
      </w:r>
      <w:r w:rsidR="001F56D1" w:rsidRPr="00A73F84">
        <w:rPr>
          <w:rFonts w:ascii="Arial" w:hAnsi="Arial" w:cs="Arial"/>
        </w:rPr>
        <w:t>payment levels.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1F56D1" w:rsidRPr="00BA1351" w:rsidRDefault="00067CE1" w:rsidP="004F3DE3">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All the above poli</w:t>
      </w:r>
      <w:r w:rsidR="0045067D">
        <w:rPr>
          <w:rFonts w:ascii="Arial" w:eastAsia="Times New Roman" w:hAnsi="Arial" w:cs="Arial"/>
          <w:lang w:val="en-GB"/>
        </w:rPr>
        <w:t xml:space="preserve">cies are available on the </w:t>
      </w:r>
      <w:proofErr w:type="spellStart"/>
      <w:r w:rsidR="002968BB">
        <w:rPr>
          <w:rFonts w:ascii="Arial" w:eastAsia="Times New Roman" w:hAnsi="Arial" w:cs="Arial"/>
          <w:lang w:val="en-GB"/>
        </w:rPr>
        <w:t>Inkosi</w:t>
      </w:r>
      <w:proofErr w:type="spellEnd"/>
      <w:r w:rsidR="002968BB">
        <w:rPr>
          <w:rFonts w:ascii="Arial" w:eastAsia="Times New Roman" w:hAnsi="Arial" w:cs="Arial"/>
          <w:lang w:val="en-GB"/>
        </w:rPr>
        <w:t xml:space="preserve"> Langalibalele</w:t>
      </w:r>
      <w:r w:rsidR="0045067D">
        <w:rPr>
          <w:rFonts w:ascii="Arial" w:eastAsia="Times New Roman" w:hAnsi="Arial" w:cs="Arial"/>
          <w:lang w:val="en-GB"/>
        </w:rPr>
        <w:t xml:space="preserve"> municipality’s</w:t>
      </w:r>
      <w:r>
        <w:rPr>
          <w:rFonts w:ascii="Arial" w:eastAsia="Times New Roman" w:hAnsi="Arial" w:cs="Arial"/>
          <w:lang w:val="en-GB"/>
        </w:rPr>
        <w:t xml:space="preserve"> website, as well as the following budget related policies</w:t>
      </w:r>
      <w:r w:rsidR="00953F07" w:rsidRPr="00BA1351">
        <w:rPr>
          <w:rFonts w:ascii="Arial" w:eastAsia="Times New Roman" w:hAnsi="Arial" w:cs="Arial"/>
          <w:lang w:val="en-GB"/>
        </w:rPr>
        <w:t>:</w:t>
      </w:r>
    </w:p>
    <w:p w:rsidR="00BA1351" w:rsidRDefault="00BA1351" w:rsidP="004F3DE3">
      <w:pPr>
        <w:autoSpaceDE w:val="0"/>
        <w:autoSpaceDN w:val="0"/>
        <w:adjustRightInd w:val="0"/>
        <w:spacing w:after="0" w:line="240" w:lineRule="auto"/>
        <w:jc w:val="both"/>
        <w:rPr>
          <w:rFonts w:ascii="Arial" w:eastAsia="Times New Roman" w:hAnsi="Arial" w:cs="Arial"/>
          <w:lang w:val="en-GB"/>
        </w:rPr>
      </w:pPr>
    </w:p>
    <w:p w:rsidR="00AD2F25" w:rsidRPr="00AD2F25" w:rsidRDefault="00AD2F25" w:rsidP="00E50C0E">
      <w:pPr>
        <w:numPr>
          <w:ilvl w:val="0"/>
          <w:numId w:val="5"/>
        </w:numPr>
        <w:tabs>
          <w:tab w:val="clear" w:pos="720"/>
          <w:tab w:val="num" w:pos="1418"/>
        </w:tabs>
        <w:spacing w:after="0" w:line="240" w:lineRule="auto"/>
        <w:ind w:left="709" w:hanging="709"/>
        <w:jc w:val="both"/>
        <w:rPr>
          <w:rFonts w:ascii="Arial" w:hAnsi="Arial" w:cs="Arial"/>
        </w:rPr>
      </w:pPr>
      <w:r w:rsidRPr="00AD2F25">
        <w:rPr>
          <w:rFonts w:ascii="Arial" w:hAnsi="Arial" w:cs="Arial"/>
        </w:rPr>
        <w:t>Property Rates Policy;</w:t>
      </w:r>
    </w:p>
    <w:p w:rsidR="00AD2F25" w:rsidRPr="00AD2F25" w:rsidRDefault="00AD2F25" w:rsidP="00E50C0E">
      <w:pPr>
        <w:numPr>
          <w:ilvl w:val="0"/>
          <w:numId w:val="5"/>
        </w:numPr>
        <w:tabs>
          <w:tab w:val="clear" w:pos="720"/>
          <w:tab w:val="num" w:pos="1418"/>
        </w:tabs>
        <w:spacing w:after="0" w:line="240" w:lineRule="auto"/>
        <w:ind w:left="709" w:hanging="709"/>
        <w:jc w:val="both"/>
        <w:rPr>
          <w:rFonts w:ascii="Arial" w:hAnsi="Arial" w:cs="Arial"/>
        </w:rPr>
      </w:pPr>
      <w:r w:rsidRPr="00AD2F25">
        <w:rPr>
          <w:rFonts w:ascii="Arial" w:hAnsi="Arial" w:cs="Arial"/>
        </w:rPr>
        <w:t>Funding and Reserves Policy;</w:t>
      </w:r>
    </w:p>
    <w:p w:rsidR="00AD2F25" w:rsidRPr="00AD2F25" w:rsidRDefault="00AD2F25" w:rsidP="00E50C0E">
      <w:pPr>
        <w:numPr>
          <w:ilvl w:val="0"/>
          <w:numId w:val="5"/>
        </w:numPr>
        <w:tabs>
          <w:tab w:val="clear" w:pos="720"/>
          <w:tab w:val="num" w:pos="1418"/>
        </w:tabs>
        <w:spacing w:after="0" w:line="240" w:lineRule="auto"/>
        <w:ind w:left="709" w:hanging="709"/>
        <w:jc w:val="both"/>
        <w:rPr>
          <w:rFonts w:ascii="Arial" w:hAnsi="Arial" w:cs="Arial"/>
        </w:rPr>
      </w:pPr>
      <w:r w:rsidRPr="00AD2F25">
        <w:rPr>
          <w:rFonts w:ascii="Arial" w:hAnsi="Arial" w:cs="Arial"/>
        </w:rPr>
        <w:t>Borrowing Policy;</w:t>
      </w:r>
    </w:p>
    <w:p w:rsidR="001F56D1" w:rsidRPr="00AD2F25"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D2F25">
        <w:rPr>
          <w:rFonts w:ascii="Arial" w:hAnsi="Arial" w:cs="Arial"/>
        </w:rPr>
        <w:t>Budget Policy;</w:t>
      </w:r>
      <w:r w:rsidR="00AD2F25" w:rsidRPr="00AD2F25">
        <w:rPr>
          <w:rFonts w:ascii="Arial" w:hAnsi="Arial" w:cs="Arial"/>
        </w:rPr>
        <w:t xml:space="preserve"> and</w:t>
      </w:r>
    </w:p>
    <w:p w:rsidR="004F3DE3" w:rsidRPr="00AD2F25" w:rsidRDefault="001F56D1" w:rsidP="00E50C0E">
      <w:pPr>
        <w:numPr>
          <w:ilvl w:val="0"/>
          <w:numId w:val="5"/>
        </w:numPr>
        <w:tabs>
          <w:tab w:val="clear" w:pos="720"/>
          <w:tab w:val="num" w:pos="1418"/>
        </w:tabs>
        <w:spacing w:after="0" w:line="240" w:lineRule="auto"/>
        <w:ind w:left="709" w:hanging="709"/>
        <w:jc w:val="both"/>
        <w:rPr>
          <w:rFonts w:ascii="Arial" w:hAnsi="Arial" w:cs="Arial"/>
        </w:rPr>
      </w:pPr>
      <w:r w:rsidRPr="00AD2F25">
        <w:rPr>
          <w:rFonts w:ascii="Arial" w:hAnsi="Arial" w:cs="Arial"/>
        </w:rPr>
        <w:t>Basic Social Ser</w:t>
      </w:r>
      <w:r w:rsidR="00AD2F25" w:rsidRPr="00AD2F25">
        <w:rPr>
          <w:rFonts w:ascii="Arial" w:hAnsi="Arial" w:cs="Arial"/>
        </w:rPr>
        <w:t>vices Package (Indigent Policy).</w:t>
      </w:r>
    </w:p>
    <w:p w:rsidR="00AD2F25" w:rsidRDefault="00AD2F25" w:rsidP="00AD2F25">
      <w:pPr>
        <w:autoSpaceDE w:val="0"/>
        <w:autoSpaceDN w:val="0"/>
        <w:adjustRightInd w:val="0"/>
        <w:spacing w:after="0" w:line="240" w:lineRule="auto"/>
        <w:ind w:left="360"/>
        <w:jc w:val="both"/>
        <w:rPr>
          <w:rFonts w:ascii="Arial" w:eastAsia="Times New Roman" w:hAnsi="Arial" w:cs="Arial"/>
          <w:lang w:val="en-GB"/>
        </w:rPr>
      </w:pPr>
    </w:p>
    <w:p w:rsidR="00743765" w:rsidRPr="00AD2F25" w:rsidRDefault="00743765" w:rsidP="00AD2F25">
      <w:pPr>
        <w:autoSpaceDE w:val="0"/>
        <w:autoSpaceDN w:val="0"/>
        <w:adjustRightInd w:val="0"/>
        <w:spacing w:after="0" w:line="240" w:lineRule="auto"/>
        <w:ind w:left="360"/>
        <w:jc w:val="both"/>
        <w:rPr>
          <w:rFonts w:ascii="Arial" w:eastAsia="Times New Roman" w:hAnsi="Arial" w:cs="Arial"/>
          <w:lang w:val="en-GB"/>
        </w:rPr>
      </w:pPr>
    </w:p>
    <w:p w:rsidR="00CB594D" w:rsidRPr="00397C37" w:rsidRDefault="00CB594D" w:rsidP="004F3DE3">
      <w:pPr>
        <w:pStyle w:val="Heading2"/>
        <w:spacing w:before="0" w:line="240" w:lineRule="auto"/>
        <w:rPr>
          <w:rFonts w:ascii="Arial" w:hAnsi="Arial" w:cs="Arial"/>
          <w:color w:val="auto"/>
        </w:rPr>
      </w:pPr>
      <w:bookmarkStart w:id="135" w:name="_Toc286034121"/>
      <w:bookmarkStart w:id="136" w:name="_Toc286034712"/>
      <w:bookmarkStart w:id="137" w:name="_Toc286041443"/>
      <w:bookmarkStart w:id="138" w:name="_Toc286041512"/>
      <w:bookmarkStart w:id="139" w:name="_Toc286117323"/>
      <w:bookmarkStart w:id="140" w:name="_Toc287342534"/>
      <w:r w:rsidRPr="00397C37">
        <w:rPr>
          <w:rFonts w:ascii="Arial" w:hAnsi="Arial" w:cs="Arial"/>
          <w:color w:val="auto"/>
        </w:rPr>
        <w:t>Overview of budget assumptions</w:t>
      </w:r>
      <w:bookmarkEnd w:id="135"/>
      <w:bookmarkEnd w:id="136"/>
      <w:bookmarkEnd w:id="137"/>
      <w:bookmarkEnd w:id="138"/>
      <w:bookmarkEnd w:id="139"/>
      <w:bookmarkEnd w:id="140"/>
    </w:p>
    <w:p w:rsidR="004F3DE3" w:rsidRDefault="004F3DE3" w:rsidP="004F3DE3">
      <w:pPr>
        <w:autoSpaceDE w:val="0"/>
        <w:autoSpaceDN w:val="0"/>
        <w:adjustRightInd w:val="0"/>
        <w:spacing w:after="0" w:line="240" w:lineRule="auto"/>
        <w:ind w:left="720" w:hanging="720"/>
        <w:jc w:val="both"/>
        <w:rPr>
          <w:rFonts w:ascii="Arial" w:eastAsia="Times New Roman" w:hAnsi="Arial" w:cs="Arial"/>
          <w:b/>
          <w:i/>
          <w:lang w:val="en-GB"/>
        </w:rPr>
      </w:pPr>
    </w:p>
    <w:p w:rsidR="00BA1351" w:rsidRPr="00BA1351" w:rsidRDefault="00BA1351" w:rsidP="004F3DE3">
      <w:pPr>
        <w:autoSpaceDE w:val="0"/>
        <w:autoSpaceDN w:val="0"/>
        <w:adjustRightInd w:val="0"/>
        <w:spacing w:after="0" w:line="240" w:lineRule="auto"/>
        <w:jc w:val="both"/>
        <w:rPr>
          <w:rFonts w:ascii="Arial" w:eastAsia="Times New Roman" w:hAnsi="Arial" w:cs="Arial"/>
          <w:lang w:val="en-GB"/>
        </w:rPr>
      </w:pPr>
    </w:p>
    <w:p w:rsidR="0074530F" w:rsidRPr="00956A70" w:rsidRDefault="0074530F" w:rsidP="00956A70">
      <w:pPr>
        <w:pStyle w:val="Heading3"/>
        <w:rPr>
          <w:rFonts w:ascii="Arial" w:eastAsia="Times New Roman" w:hAnsi="Arial" w:cs="Arial"/>
          <w:color w:val="auto"/>
          <w:lang w:val="en-GB"/>
        </w:rPr>
      </w:pPr>
      <w:bookmarkStart w:id="141" w:name="_Toc286034123"/>
      <w:bookmarkStart w:id="142" w:name="_Toc286034714"/>
      <w:r w:rsidRPr="00956A70">
        <w:rPr>
          <w:rFonts w:ascii="Arial" w:eastAsia="Times New Roman" w:hAnsi="Arial" w:cs="Arial"/>
          <w:color w:val="auto"/>
          <w:lang w:val="en-GB"/>
        </w:rPr>
        <w:t>General inflation outlook and its imp</w:t>
      </w:r>
      <w:r w:rsidR="00BA1351" w:rsidRPr="00956A70">
        <w:rPr>
          <w:rFonts w:ascii="Arial" w:eastAsia="Times New Roman" w:hAnsi="Arial" w:cs="Arial"/>
          <w:color w:val="auto"/>
          <w:lang w:val="en-GB"/>
        </w:rPr>
        <w:t>act on the municipal activities</w:t>
      </w:r>
      <w:bookmarkEnd w:id="141"/>
      <w:bookmarkEnd w:id="142"/>
    </w:p>
    <w:p w:rsidR="00BA1351" w:rsidRPr="00BA1351" w:rsidRDefault="00BA1351" w:rsidP="004F3DE3">
      <w:pPr>
        <w:autoSpaceDE w:val="0"/>
        <w:autoSpaceDN w:val="0"/>
        <w:adjustRightInd w:val="0"/>
        <w:spacing w:after="0" w:line="240" w:lineRule="auto"/>
        <w:ind w:left="720" w:hanging="720"/>
        <w:jc w:val="both"/>
        <w:rPr>
          <w:rFonts w:ascii="Arial" w:eastAsia="Times New Roman" w:hAnsi="Arial" w:cs="Arial"/>
          <w:b/>
          <w:lang w:val="en-GB"/>
        </w:rPr>
      </w:pPr>
    </w:p>
    <w:p w:rsidR="0074530F" w:rsidRPr="00BA1351" w:rsidRDefault="0074530F"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There are five key factors that have been taken into consideration in the compilation o</w:t>
      </w:r>
      <w:r w:rsidR="0045067D">
        <w:rPr>
          <w:rFonts w:ascii="Arial" w:eastAsia="Times New Roman" w:hAnsi="Arial" w:cs="Arial"/>
          <w:lang w:val="en-GB"/>
        </w:rPr>
        <w:t xml:space="preserve">f the </w:t>
      </w:r>
      <w:r w:rsidR="001143B3">
        <w:rPr>
          <w:rFonts w:ascii="Arial" w:eastAsia="Times New Roman" w:hAnsi="Arial" w:cs="Arial"/>
          <w:lang w:val="en-GB"/>
        </w:rPr>
        <w:t>2018/19</w:t>
      </w:r>
      <w:r w:rsidRPr="00BA1351">
        <w:rPr>
          <w:rFonts w:ascii="Arial" w:eastAsia="Times New Roman" w:hAnsi="Arial" w:cs="Arial"/>
          <w:lang w:val="en-GB"/>
        </w:rPr>
        <w:t xml:space="preserve"> MTREF:</w:t>
      </w:r>
    </w:p>
    <w:p w:rsidR="0074530F" w:rsidRPr="00BA1351" w:rsidRDefault="0074530F" w:rsidP="00BA1351">
      <w:pPr>
        <w:autoSpaceDE w:val="0"/>
        <w:autoSpaceDN w:val="0"/>
        <w:adjustRightInd w:val="0"/>
        <w:spacing w:after="0" w:line="240" w:lineRule="auto"/>
        <w:jc w:val="both"/>
        <w:rPr>
          <w:rFonts w:ascii="Arial" w:hAnsi="Arial" w:cs="Arial"/>
          <w:lang w:val="en-GB"/>
        </w:rPr>
      </w:pP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 xml:space="preserve">National Government </w:t>
      </w:r>
      <w:proofErr w:type="spellStart"/>
      <w:r w:rsidRPr="00A73F84">
        <w:rPr>
          <w:rFonts w:ascii="Arial" w:hAnsi="Arial" w:cs="Arial"/>
        </w:rPr>
        <w:t>macro economic</w:t>
      </w:r>
      <w:proofErr w:type="spellEnd"/>
      <w:r w:rsidRPr="00A73F84">
        <w:rPr>
          <w:rFonts w:ascii="Arial" w:hAnsi="Arial" w:cs="Arial"/>
        </w:rPr>
        <w:t xml:space="preserve"> targets;</w:t>
      </w: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 xml:space="preserve">The general inflationary </w:t>
      </w:r>
      <w:r w:rsidR="0045067D">
        <w:rPr>
          <w:rFonts w:ascii="Arial" w:hAnsi="Arial" w:cs="Arial"/>
        </w:rPr>
        <w:t>outlook and the impact on municipality’s</w:t>
      </w:r>
      <w:r w:rsidRPr="00A73F84">
        <w:rPr>
          <w:rFonts w:ascii="Arial" w:hAnsi="Arial" w:cs="Arial"/>
        </w:rPr>
        <w:t xml:space="preserve"> residents and businesses;</w:t>
      </w: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The impact of municipal cost drivers;</w:t>
      </w:r>
    </w:p>
    <w:p w:rsidR="0074530F" w:rsidRPr="00A73F84"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The increase in price</w:t>
      </w:r>
      <w:r w:rsidR="0045067D">
        <w:rPr>
          <w:rFonts w:ascii="Arial" w:hAnsi="Arial" w:cs="Arial"/>
        </w:rPr>
        <w:t>s for bulk electricity</w:t>
      </w:r>
      <w:r w:rsidRPr="00A73F84">
        <w:rPr>
          <w:rFonts w:ascii="Arial" w:hAnsi="Arial" w:cs="Arial"/>
        </w:rPr>
        <w:t>; and</w:t>
      </w:r>
    </w:p>
    <w:p w:rsidR="0074530F" w:rsidRDefault="0074530F" w:rsidP="00E50C0E">
      <w:pPr>
        <w:numPr>
          <w:ilvl w:val="0"/>
          <w:numId w:val="5"/>
        </w:numPr>
        <w:tabs>
          <w:tab w:val="clear" w:pos="720"/>
          <w:tab w:val="num" w:pos="1418"/>
        </w:tabs>
        <w:spacing w:after="0" w:line="240" w:lineRule="auto"/>
        <w:ind w:left="709" w:hanging="709"/>
        <w:jc w:val="both"/>
        <w:rPr>
          <w:rFonts w:ascii="Arial" w:eastAsia="Times New Roman" w:hAnsi="Arial" w:cs="Arial"/>
          <w:lang w:val="en-GB"/>
        </w:rPr>
      </w:pPr>
      <w:r w:rsidRPr="00A73F84">
        <w:rPr>
          <w:rFonts w:ascii="Arial" w:hAnsi="Arial" w:cs="Arial"/>
        </w:rPr>
        <w:t>The increase in the cost of remuneration. Employee related cost</w:t>
      </w:r>
      <w:r w:rsidR="00962C25">
        <w:rPr>
          <w:rFonts w:ascii="Arial" w:hAnsi="Arial" w:cs="Arial"/>
        </w:rPr>
        <w:t>s has been incr</w:t>
      </w:r>
      <w:r w:rsidR="004454A3">
        <w:rPr>
          <w:rFonts w:ascii="Arial" w:hAnsi="Arial" w:cs="Arial"/>
        </w:rPr>
        <w:t>eased by 7.1% as per Circular 93</w:t>
      </w:r>
      <w:r w:rsidR="0045067D">
        <w:rPr>
          <w:rFonts w:ascii="Arial" w:hAnsi="Arial" w:cs="Arial"/>
        </w:rPr>
        <w:t>, however, we have seen that in the previous financial and current financial year actual employee related costs exceeds the budgeted amount.</w:t>
      </w:r>
      <w:r w:rsidR="003C3C9C">
        <w:rPr>
          <w:rFonts w:ascii="Arial" w:hAnsi="Arial" w:cs="Arial"/>
        </w:rPr>
        <w:t xml:space="preserve"> We therefore, decided to forecast on actual expenditure </w:t>
      </w:r>
      <w:r w:rsidR="004454A3">
        <w:rPr>
          <w:rFonts w:ascii="Arial" w:hAnsi="Arial" w:cs="Arial"/>
        </w:rPr>
        <w:t>trend of this line item. The 7.1</w:t>
      </w:r>
      <w:r w:rsidR="003C3C9C">
        <w:rPr>
          <w:rFonts w:ascii="Arial" w:hAnsi="Arial" w:cs="Arial"/>
        </w:rPr>
        <w:t>% increase is based on the forecasted figures and not on the adjustments budget figure.</w:t>
      </w:r>
    </w:p>
    <w:p w:rsidR="00BA1351" w:rsidRPr="00BA1351" w:rsidRDefault="00BA1351" w:rsidP="00A73F84">
      <w:pPr>
        <w:autoSpaceDE w:val="0"/>
        <w:autoSpaceDN w:val="0"/>
        <w:adjustRightInd w:val="0"/>
        <w:spacing w:after="0" w:line="240" w:lineRule="auto"/>
        <w:ind w:left="360"/>
        <w:jc w:val="both"/>
        <w:rPr>
          <w:rFonts w:ascii="Arial" w:eastAsia="Times New Roman" w:hAnsi="Arial" w:cs="Arial"/>
          <w:lang w:val="en-GB"/>
        </w:rPr>
      </w:pPr>
    </w:p>
    <w:p w:rsidR="00BA1351" w:rsidRPr="00BA1351" w:rsidRDefault="00BA1351" w:rsidP="00A73F84">
      <w:pPr>
        <w:pStyle w:val="ListParagraph"/>
        <w:autoSpaceDE w:val="0"/>
        <w:autoSpaceDN w:val="0"/>
        <w:adjustRightInd w:val="0"/>
        <w:spacing w:after="0" w:line="240" w:lineRule="auto"/>
        <w:jc w:val="both"/>
        <w:rPr>
          <w:rFonts w:ascii="Arial" w:eastAsia="Times New Roman" w:hAnsi="Arial" w:cs="Arial"/>
          <w:lang w:val="en-GB"/>
        </w:rPr>
      </w:pPr>
      <w:bookmarkStart w:id="143" w:name="OLE_LINK2"/>
    </w:p>
    <w:p w:rsidR="0074530F" w:rsidRPr="00956A70" w:rsidRDefault="0074530F" w:rsidP="00956A70">
      <w:pPr>
        <w:pStyle w:val="Heading3"/>
        <w:rPr>
          <w:rFonts w:ascii="Arial" w:eastAsia="Times New Roman" w:hAnsi="Arial" w:cs="Arial"/>
          <w:color w:val="auto"/>
          <w:lang w:val="en-GB"/>
        </w:rPr>
      </w:pPr>
      <w:bookmarkStart w:id="144" w:name="_Toc286034125"/>
      <w:bookmarkStart w:id="145" w:name="_Toc286034716"/>
      <w:bookmarkEnd w:id="143"/>
      <w:r w:rsidRPr="00956A70">
        <w:rPr>
          <w:rFonts w:ascii="Arial" w:eastAsia="Times New Roman" w:hAnsi="Arial" w:cs="Arial"/>
          <w:color w:val="auto"/>
          <w:lang w:val="en-GB"/>
        </w:rPr>
        <w:t>Interest rates for borrowing and investment of funds</w:t>
      </w:r>
      <w:bookmarkEnd w:id="144"/>
      <w:bookmarkEnd w:id="145"/>
      <w:r w:rsidRPr="00956A70">
        <w:rPr>
          <w:rFonts w:ascii="Arial" w:eastAsia="Times New Roman" w:hAnsi="Arial" w:cs="Arial"/>
          <w:color w:val="auto"/>
          <w:lang w:val="en-GB"/>
        </w:rPr>
        <w:t xml:space="preserve"> </w:t>
      </w:r>
    </w:p>
    <w:p w:rsidR="00BA1351" w:rsidRDefault="00BA1351" w:rsidP="00BA1351">
      <w:pPr>
        <w:autoSpaceDE w:val="0"/>
        <w:autoSpaceDN w:val="0"/>
        <w:adjustRightInd w:val="0"/>
        <w:spacing w:after="0" w:line="240" w:lineRule="auto"/>
        <w:jc w:val="both"/>
        <w:rPr>
          <w:rFonts w:ascii="Arial" w:eastAsia="Times New Roman" w:hAnsi="Arial" w:cs="Arial"/>
          <w:lang w:val="en-GB"/>
        </w:rPr>
      </w:pPr>
    </w:p>
    <w:p w:rsidR="00BA1351" w:rsidRPr="00BA1351" w:rsidRDefault="0074530F" w:rsidP="00BA1351">
      <w:pPr>
        <w:autoSpaceDE w:val="0"/>
        <w:autoSpaceDN w:val="0"/>
        <w:adjustRightInd w:val="0"/>
        <w:spacing w:after="0" w:line="240" w:lineRule="auto"/>
        <w:jc w:val="both"/>
        <w:rPr>
          <w:rFonts w:ascii="Arial" w:hAnsi="Arial" w:cs="Arial"/>
          <w:lang w:val="en-GB"/>
        </w:rPr>
      </w:pPr>
      <w:r w:rsidRPr="00BA1351">
        <w:rPr>
          <w:rFonts w:ascii="Arial" w:eastAsia="Times New Roman" w:hAnsi="Arial" w:cs="Arial"/>
          <w:lang w:val="en-GB"/>
        </w:rPr>
        <w:t>The MFMA specifies that borrowing can only be utilised to fund capital or refinancing of borrowi</w:t>
      </w:r>
      <w:r w:rsidR="003C3C9C">
        <w:rPr>
          <w:rFonts w:ascii="Arial" w:eastAsia="Times New Roman" w:hAnsi="Arial" w:cs="Arial"/>
          <w:lang w:val="en-GB"/>
        </w:rPr>
        <w:t>ng in certain conditions.  The municipality</w:t>
      </w:r>
      <w:r w:rsidR="00D73890" w:rsidRPr="00BA1351">
        <w:rPr>
          <w:rFonts w:ascii="Arial" w:eastAsia="Times New Roman" w:hAnsi="Arial" w:cs="Arial"/>
          <w:lang w:val="en-GB"/>
        </w:rPr>
        <w:t xml:space="preserve"> </w:t>
      </w:r>
      <w:r w:rsidRPr="00BA1351">
        <w:rPr>
          <w:rFonts w:ascii="Arial" w:eastAsia="Times New Roman" w:hAnsi="Arial" w:cs="Arial"/>
          <w:lang w:val="en-GB"/>
        </w:rPr>
        <w:t>engages in a number of financing arrangements to minimise its interest rate cost</w:t>
      </w:r>
      <w:r w:rsidR="00BA21C3">
        <w:rPr>
          <w:rFonts w:ascii="Arial" w:eastAsia="Times New Roman" w:hAnsi="Arial" w:cs="Arial"/>
          <w:lang w:val="en-GB"/>
        </w:rPr>
        <w:t>s</w:t>
      </w:r>
      <w:r w:rsidRPr="00BA1351">
        <w:rPr>
          <w:rFonts w:ascii="Arial" w:eastAsia="Times New Roman" w:hAnsi="Arial" w:cs="Arial"/>
          <w:lang w:val="en-GB"/>
        </w:rPr>
        <w:t xml:space="preserve"> and risk.  </w:t>
      </w:r>
      <w:r w:rsidR="003C3C9C">
        <w:rPr>
          <w:rFonts w:ascii="Arial" w:eastAsia="Times New Roman" w:hAnsi="Arial" w:cs="Arial"/>
          <w:lang w:val="en-GB"/>
        </w:rPr>
        <w:t xml:space="preserve">Amortisation schedule were obtained from the financial institutions and used to calculate the finance charges the municipality will incur in the </w:t>
      </w:r>
      <w:r w:rsidR="004454A3">
        <w:rPr>
          <w:rFonts w:ascii="Arial" w:eastAsia="Times New Roman" w:hAnsi="Arial" w:cs="Arial"/>
          <w:lang w:val="en-GB"/>
        </w:rPr>
        <w:t>2019/20</w:t>
      </w:r>
      <w:r w:rsidR="003C3C9C">
        <w:rPr>
          <w:rFonts w:ascii="Arial" w:eastAsia="Times New Roman" w:hAnsi="Arial" w:cs="Arial"/>
          <w:lang w:val="en-GB"/>
        </w:rPr>
        <w:t xml:space="preserve">. </w:t>
      </w:r>
    </w:p>
    <w:p w:rsidR="0074530F" w:rsidRPr="00956A70" w:rsidRDefault="0074530F" w:rsidP="00956A70">
      <w:pPr>
        <w:pStyle w:val="Heading3"/>
        <w:rPr>
          <w:rFonts w:ascii="Arial" w:eastAsia="Times New Roman" w:hAnsi="Arial" w:cs="Arial"/>
          <w:color w:val="auto"/>
          <w:lang w:val="en-GB"/>
        </w:rPr>
      </w:pPr>
      <w:bookmarkStart w:id="146" w:name="_Toc286034126"/>
      <w:bookmarkStart w:id="147" w:name="_Toc286034717"/>
      <w:r w:rsidRPr="00956A70">
        <w:rPr>
          <w:rFonts w:ascii="Arial" w:eastAsia="Times New Roman" w:hAnsi="Arial" w:cs="Arial"/>
          <w:color w:val="auto"/>
          <w:lang w:val="en-GB"/>
        </w:rPr>
        <w:t>Collection rate for revenue services</w:t>
      </w:r>
      <w:bookmarkEnd w:id="146"/>
      <w:bookmarkEnd w:id="147"/>
    </w:p>
    <w:p w:rsidR="00BA1351" w:rsidRP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BA1351" w:rsidRDefault="004454A3" w:rsidP="00BA1351">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W</w:t>
      </w:r>
      <w:r w:rsidR="003C3C9C">
        <w:rPr>
          <w:rFonts w:ascii="Arial" w:eastAsia="Times New Roman" w:hAnsi="Arial" w:cs="Arial"/>
          <w:lang w:val="en-GB"/>
        </w:rPr>
        <w:t>e have calculated the municipality’s collection rate on Rates, Electricity and Refuse. Both the Debtors and Revenue collect</w:t>
      </w:r>
      <w:r w:rsidR="00710E45">
        <w:rPr>
          <w:rFonts w:ascii="Arial" w:eastAsia="Times New Roman" w:hAnsi="Arial" w:cs="Arial"/>
          <w:lang w:val="en-GB"/>
        </w:rPr>
        <w:t>ion rate were calculated. For cash flow purposes, the Revenue collection rate was used because we felt its more accurate reflection of the income that is collected. The Revenue collection rates were as follows:</w:t>
      </w:r>
    </w:p>
    <w:p w:rsidR="00710E45" w:rsidRDefault="004454A3" w:rsidP="00710E45">
      <w:pPr>
        <w:pStyle w:val="ListParagraph"/>
        <w:numPr>
          <w:ilvl w:val="0"/>
          <w:numId w:val="37"/>
        </w:num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Electricity: 88</w:t>
      </w:r>
      <w:r w:rsidR="00C00519">
        <w:rPr>
          <w:rFonts w:ascii="Arial" w:eastAsia="Times New Roman" w:hAnsi="Arial" w:cs="Arial"/>
          <w:lang w:val="en-GB"/>
        </w:rPr>
        <w:t>%</w:t>
      </w:r>
    </w:p>
    <w:p w:rsidR="00710E45" w:rsidRDefault="00710E45" w:rsidP="00710E45">
      <w:pPr>
        <w:pStyle w:val="ListParagraph"/>
        <w:numPr>
          <w:ilvl w:val="0"/>
          <w:numId w:val="37"/>
        </w:num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Refuse:</w:t>
      </w:r>
      <w:r w:rsidR="004454A3">
        <w:rPr>
          <w:rFonts w:ascii="Arial" w:eastAsia="Times New Roman" w:hAnsi="Arial" w:cs="Arial"/>
          <w:lang w:val="en-GB"/>
        </w:rPr>
        <w:t xml:space="preserve"> 45</w:t>
      </w:r>
      <w:r w:rsidR="00C00519">
        <w:rPr>
          <w:rFonts w:ascii="Arial" w:eastAsia="Times New Roman" w:hAnsi="Arial" w:cs="Arial"/>
          <w:lang w:val="en-GB"/>
        </w:rPr>
        <w:t>%</w:t>
      </w:r>
      <w:r w:rsidR="00421378">
        <w:rPr>
          <w:rFonts w:ascii="Arial" w:eastAsia="Times New Roman" w:hAnsi="Arial" w:cs="Arial"/>
          <w:lang w:val="en-GB"/>
        </w:rPr>
        <w:t xml:space="preserve"> </w:t>
      </w:r>
    </w:p>
    <w:p w:rsidR="00710E45" w:rsidRDefault="004454A3" w:rsidP="00710E45">
      <w:pPr>
        <w:pStyle w:val="ListParagraph"/>
        <w:numPr>
          <w:ilvl w:val="0"/>
          <w:numId w:val="37"/>
        </w:num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lang w:val="en-GB"/>
        </w:rPr>
        <w:t>Property Rates: 42</w:t>
      </w:r>
      <w:r w:rsidR="00C00519">
        <w:rPr>
          <w:rFonts w:ascii="Arial" w:eastAsia="Times New Roman" w:hAnsi="Arial" w:cs="Arial"/>
          <w:lang w:val="en-GB"/>
        </w:rPr>
        <w:t>%</w:t>
      </w:r>
    </w:p>
    <w:p w:rsidR="00710E45" w:rsidRPr="00710E45" w:rsidRDefault="00710E45" w:rsidP="00710E45">
      <w:pPr>
        <w:autoSpaceDE w:val="0"/>
        <w:autoSpaceDN w:val="0"/>
        <w:adjustRightInd w:val="0"/>
        <w:spacing w:after="0" w:line="240" w:lineRule="auto"/>
        <w:jc w:val="both"/>
        <w:rPr>
          <w:rFonts w:ascii="Arial" w:eastAsia="Times New Roman" w:hAnsi="Arial" w:cs="Arial"/>
          <w:lang w:val="en-GB"/>
        </w:rPr>
      </w:pPr>
    </w:p>
    <w:p w:rsid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Default="00D7229D" w:rsidP="00956A70">
      <w:pPr>
        <w:pStyle w:val="Heading3"/>
        <w:rPr>
          <w:rFonts w:ascii="Arial" w:eastAsia="Times New Roman" w:hAnsi="Arial" w:cs="Arial"/>
          <w:color w:val="auto"/>
          <w:lang w:val="en-GB"/>
        </w:rPr>
      </w:pPr>
      <w:bookmarkStart w:id="148" w:name="_Toc286034128"/>
      <w:bookmarkStart w:id="149" w:name="_Toc286034719"/>
      <w:r w:rsidRPr="00956A70">
        <w:rPr>
          <w:rFonts w:ascii="Arial" w:eastAsia="Times New Roman" w:hAnsi="Arial" w:cs="Arial"/>
          <w:color w:val="auto"/>
          <w:lang w:val="en-GB"/>
        </w:rPr>
        <w:t>Salary increases</w:t>
      </w:r>
      <w:bookmarkEnd w:id="148"/>
      <w:bookmarkEnd w:id="149"/>
    </w:p>
    <w:p w:rsidR="00710E45" w:rsidRDefault="00710E45" w:rsidP="00710E45">
      <w:pPr>
        <w:rPr>
          <w:lang w:val="en-GB"/>
        </w:rPr>
      </w:pPr>
    </w:p>
    <w:p w:rsidR="00710E45" w:rsidRDefault="00710E45" w:rsidP="00710E45">
      <w:pPr>
        <w:numPr>
          <w:ilvl w:val="0"/>
          <w:numId w:val="5"/>
        </w:numPr>
        <w:tabs>
          <w:tab w:val="clear" w:pos="720"/>
          <w:tab w:val="num" w:pos="1418"/>
        </w:tabs>
        <w:spacing w:after="0" w:line="240" w:lineRule="auto"/>
        <w:ind w:left="709" w:hanging="709"/>
        <w:jc w:val="both"/>
        <w:rPr>
          <w:rFonts w:ascii="Arial" w:eastAsia="Times New Roman" w:hAnsi="Arial" w:cs="Arial"/>
          <w:lang w:val="en-GB"/>
        </w:rPr>
      </w:pPr>
      <w:r w:rsidRPr="00A73F84">
        <w:rPr>
          <w:rFonts w:ascii="Arial" w:hAnsi="Arial" w:cs="Arial"/>
        </w:rPr>
        <w:t>The increase in the cost of remuneration. Employee related cost</w:t>
      </w:r>
      <w:r w:rsidR="004454A3">
        <w:rPr>
          <w:rFonts w:ascii="Arial" w:hAnsi="Arial" w:cs="Arial"/>
        </w:rPr>
        <w:t>s has been increased by CPI</w:t>
      </w:r>
      <w:r w:rsidR="00421378">
        <w:rPr>
          <w:rFonts w:ascii="Arial" w:hAnsi="Arial" w:cs="Arial"/>
        </w:rPr>
        <w:t xml:space="preserve"> plus 1</w:t>
      </w:r>
      <w:r w:rsidR="004454A3">
        <w:rPr>
          <w:rFonts w:ascii="Arial" w:hAnsi="Arial" w:cs="Arial"/>
        </w:rPr>
        <w:t>.5</w:t>
      </w:r>
      <w:r w:rsidR="00421378">
        <w:rPr>
          <w:rFonts w:ascii="Arial" w:hAnsi="Arial" w:cs="Arial"/>
        </w:rPr>
        <w:t>%</w:t>
      </w:r>
      <w:r w:rsidR="004454A3">
        <w:rPr>
          <w:rFonts w:ascii="Arial" w:hAnsi="Arial" w:cs="Arial"/>
        </w:rPr>
        <w:t>, as per the Collective Agreement between the Unions and SALGA.</w:t>
      </w:r>
    </w:p>
    <w:p w:rsidR="00BA1351" w:rsidRDefault="00BA1351" w:rsidP="00710E45">
      <w:pPr>
        <w:autoSpaceDE w:val="0"/>
        <w:autoSpaceDN w:val="0"/>
        <w:adjustRightInd w:val="0"/>
        <w:spacing w:after="0" w:line="240" w:lineRule="auto"/>
        <w:rPr>
          <w:rFonts w:ascii="Arial" w:eastAsia="Times New Roman" w:hAnsi="Arial" w:cs="Arial"/>
          <w:b/>
          <w:lang w:val="en-GB"/>
        </w:rPr>
      </w:pPr>
    </w:p>
    <w:p w:rsidR="00D7229D" w:rsidRPr="00956A70" w:rsidRDefault="00D7229D" w:rsidP="00956A70">
      <w:pPr>
        <w:pStyle w:val="Heading3"/>
        <w:rPr>
          <w:rFonts w:ascii="Arial" w:eastAsia="Times New Roman" w:hAnsi="Arial" w:cs="Arial"/>
          <w:color w:val="auto"/>
          <w:lang w:val="en-GB"/>
        </w:rPr>
      </w:pPr>
      <w:bookmarkStart w:id="150" w:name="_Toc286034129"/>
      <w:bookmarkStart w:id="151" w:name="_Toc286034720"/>
      <w:r w:rsidRPr="00956A70">
        <w:rPr>
          <w:rFonts w:ascii="Arial" w:eastAsia="Times New Roman" w:hAnsi="Arial" w:cs="Arial"/>
          <w:color w:val="auto"/>
          <w:lang w:val="en-GB"/>
        </w:rPr>
        <w:t>Impact of national, provincial and local policies</w:t>
      </w:r>
      <w:bookmarkEnd w:id="150"/>
      <w:bookmarkEnd w:id="151"/>
    </w:p>
    <w:p w:rsidR="00C11B68" w:rsidRDefault="00C11B68" w:rsidP="00BA1351">
      <w:pPr>
        <w:autoSpaceDE w:val="0"/>
        <w:autoSpaceDN w:val="0"/>
        <w:adjustRightInd w:val="0"/>
        <w:spacing w:after="0" w:line="240" w:lineRule="auto"/>
        <w:jc w:val="both"/>
        <w:rPr>
          <w:rFonts w:ascii="Arial" w:eastAsia="Times New Roman" w:hAnsi="Arial" w:cs="Arial"/>
          <w:lang w:val="en-GB"/>
        </w:rPr>
      </w:pPr>
    </w:p>
    <w:p w:rsidR="00D7229D" w:rsidRDefault="00D7229D" w:rsidP="00BA1351">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Integration of service delivery between </w:t>
      </w:r>
      <w:r w:rsidR="00BA21C3">
        <w:rPr>
          <w:rFonts w:ascii="Arial" w:eastAsia="Times New Roman" w:hAnsi="Arial" w:cs="Arial"/>
          <w:lang w:val="en-GB"/>
        </w:rPr>
        <w:t>n</w:t>
      </w:r>
      <w:r w:rsidRPr="00BA1351">
        <w:rPr>
          <w:rFonts w:ascii="Arial" w:eastAsia="Times New Roman" w:hAnsi="Arial" w:cs="Arial"/>
          <w:lang w:val="en-GB"/>
        </w:rPr>
        <w:t xml:space="preserve">ational, </w:t>
      </w:r>
      <w:r w:rsidR="00BA21C3">
        <w:rPr>
          <w:rFonts w:ascii="Arial" w:eastAsia="Times New Roman" w:hAnsi="Arial" w:cs="Arial"/>
          <w:lang w:val="en-GB"/>
        </w:rPr>
        <w:t>provincial and local g</w:t>
      </w:r>
      <w:r w:rsidRPr="00BA1351">
        <w:rPr>
          <w:rFonts w:ascii="Arial" w:eastAsia="Times New Roman" w:hAnsi="Arial" w:cs="Arial"/>
          <w:lang w:val="en-GB"/>
        </w:rPr>
        <w:t>overnment is critical to ensure focussed service delivery and in this regard various measures were implemented to align IDPs, provincial and national strategies around priority spatial interventions.  In this regard</w:t>
      </w:r>
      <w:r w:rsidR="00C11B68">
        <w:rPr>
          <w:rFonts w:ascii="Arial" w:eastAsia="Times New Roman" w:hAnsi="Arial" w:cs="Arial"/>
          <w:lang w:val="en-GB"/>
        </w:rPr>
        <w:t>,</w:t>
      </w:r>
      <w:r w:rsidRPr="00BA1351">
        <w:rPr>
          <w:rFonts w:ascii="Arial" w:eastAsia="Times New Roman" w:hAnsi="Arial" w:cs="Arial"/>
          <w:lang w:val="en-GB"/>
        </w:rPr>
        <w:t xml:space="preserve"> the following national priorities form the basis of all integration initiatives:</w:t>
      </w:r>
    </w:p>
    <w:p w:rsidR="00BA1351" w:rsidRPr="00BA1351" w:rsidRDefault="00BA1351" w:rsidP="00BA1351">
      <w:pPr>
        <w:autoSpaceDE w:val="0"/>
        <w:autoSpaceDN w:val="0"/>
        <w:adjustRightInd w:val="0"/>
        <w:spacing w:after="0" w:line="240" w:lineRule="auto"/>
        <w:jc w:val="both"/>
        <w:rPr>
          <w:rFonts w:ascii="Arial" w:eastAsia="Times New Roman" w:hAnsi="Arial" w:cs="Arial"/>
          <w:lang w:val="en-GB"/>
        </w:rPr>
      </w:pP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Creating jobs;</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Enhancing education and skill development;</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Improving Health services;</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Rural development and agriculture; and</w:t>
      </w:r>
    </w:p>
    <w:p w:rsidR="00D7229D" w:rsidRPr="00A73F84"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A73F84">
        <w:rPr>
          <w:rFonts w:ascii="Arial" w:hAnsi="Arial" w:cs="Arial"/>
        </w:rPr>
        <w:t>Fighting crime and corruption.</w:t>
      </w:r>
    </w:p>
    <w:p w:rsidR="00BA1351" w:rsidRPr="00BA1351" w:rsidRDefault="00BA1351" w:rsidP="00BA1351">
      <w:pPr>
        <w:autoSpaceDE w:val="0"/>
        <w:autoSpaceDN w:val="0"/>
        <w:adjustRightInd w:val="0"/>
        <w:spacing w:after="0" w:line="240" w:lineRule="auto"/>
        <w:rPr>
          <w:rFonts w:ascii="Arial" w:eastAsia="Times New Roman" w:hAnsi="Arial" w:cs="Arial"/>
          <w:lang w:val="en-GB"/>
        </w:rPr>
      </w:pPr>
    </w:p>
    <w:p w:rsidR="00D7229D" w:rsidRDefault="00D7229D" w:rsidP="00BA1351">
      <w:pPr>
        <w:spacing w:after="0" w:line="240" w:lineRule="auto"/>
        <w:jc w:val="both"/>
        <w:rPr>
          <w:rFonts w:ascii="Arial" w:eastAsia="Times New Roman" w:hAnsi="Arial" w:cs="Arial"/>
          <w:lang w:val="en-GB"/>
        </w:rPr>
      </w:pPr>
      <w:r w:rsidRPr="00BA1351">
        <w:rPr>
          <w:rFonts w:ascii="Arial" w:eastAsia="Times New Roman" w:hAnsi="Arial" w:cs="Arial"/>
          <w:lang w:val="en-GB"/>
        </w:rPr>
        <w:t xml:space="preserve">To achieve these priorities integration mechanisms are in place to ensure integrated planning and execution of various development programs. </w:t>
      </w:r>
      <w:r w:rsidR="00C37A36">
        <w:rPr>
          <w:rFonts w:ascii="Arial" w:eastAsia="Times New Roman" w:hAnsi="Arial" w:cs="Arial"/>
          <w:lang w:val="en-GB"/>
        </w:rPr>
        <w:t xml:space="preserve"> </w:t>
      </w:r>
      <w:r w:rsidRPr="00BA1351">
        <w:rPr>
          <w:rFonts w:ascii="Arial" w:eastAsia="Times New Roman" w:hAnsi="Arial" w:cs="Arial"/>
          <w:lang w:val="en-GB"/>
        </w:rPr>
        <w:t>The focus will be to strengthen the link between policy priorities and expenditure thereby ensuring the achievement of the national, provincial and local objectives.</w:t>
      </w:r>
    </w:p>
    <w:p w:rsidR="00BA1351" w:rsidRPr="00BA1351" w:rsidRDefault="00BA1351" w:rsidP="00BA1351">
      <w:pPr>
        <w:spacing w:after="0" w:line="240" w:lineRule="auto"/>
        <w:jc w:val="both"/>
        <w:rPr>
          <w:rFonts w:ascii="Arial" w:eastAsia="Times New Roman" w:hAnsi="Arial" w:cs="Arial"/>
          <w:lang w:val="en-GB"/>
        </w:rPr>
      </w:pPr>
    </w:p>
    <w:p w:rsidR="00D7229D" w:rsidRPr="00956A70" w:rsidRDefault="00D7229D" w:rsidP="00956A70">
      <w:pPr>
        <w:pStyle w:val="Heading3"/>
        <w:rPr>
          <w:rFonts w:ascii="Arial" w:eastAsia="Times New Roman" w:hAnsi="Arial" w:cs="Arial"/>
          <w:color w:val="auto"/>
          <w:lang w:val="en-GB"/>
        </w:rPr>
      </w:pPr>
      <w:bookmarkStart w:id="152" w:name="_Toc286034130"/>
      <w:bookmarkStart w:id="153" w:name="_Toc286034721"/>
      <w:r w:rsidRPr="00956A70">
        <w:rPr>
          <w:rFonts w:ascii="Arial" w:eastAsia="Times New Roman" w:hAnsi="Arial" w:cs="Arial"/>
          <w:color w:val="auto"/>
          <w:lang w:val="en-GB"/>
        </w:rPr>
        <w:t>Ability of the municipality to spend and deliver on the programmes</w:t>
      </w:r>
      <w:bookmarkEnd w:id="152"/>
      <w:bookmarkEnd w:id="153"/>
    </w:p>
    <w:p w:rsidR="00BA1351" w:rsidRPr="00BA1351"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Default="00D7229D" w:rsidP="00C11B68">
      <w:pPr>
        <w:autoSpaceDE w:val="0"/>
        <w:autoSpaceDN w:val="0"/>
        <w:adjustRightInd w:val="0"/>
        <w:spacing w:after="0" w:line="240" w:lineRule="auto"/>
        <w:jc w:val="both"/>
        <w:rPr>
          <w:rFonts w:ascii="Arial" w:eastAsia="Times New Roman" w:hAnsi="Arial" w:cs="Arial"/>
          <w:lang w:val="en-GB"/>
        </w:rPr>
      </w:pPr>
      <w:r w:rsidRPr="00BA1351">
        <w:rPr>
          <w:rFonts w:ascii="Arial" w:eastAsia="Times New Roman" w:hAnsi="Arial" w:cs="Arial"/>
          <w:lang w:val="en-GB"/>
        </w:rPr>
        <w:t>It is estimated that a spending rate of at least 9</w:t>
      </w:r>
      <w:r w:rsidR="00C11B68">
        <w:rPr>
          <w:rFonts w:ascii="Arial" w:eastAsia="Times New Roman" w:hAnsi="Arial" w:cs="Arial"/>
          <w:lang w:val="en-GB"/>
        </w:rPr>
        <w:t>7</w:t>
      </w:r>
      <w:r w:rsidRPr="00BA1351">
        <w:rPr>
          <w:rFonts w:ascii="Arial" w:eastAsia="Times New Roman" w:hAnsi="Arial" w:cs="Arial"/>
          <w:lang w:val="en-GB"/>
        </w:rPr>
        <w:t xml:space="preserve"> per cent is achieved</w:t>
      </w:r>
      <w:r w:rsidR="00C11B68">
        <w:rPr>
          <w:rFonts w:ascii="Arial" w:eastAsia="Times New Roman" w:hAnsi="Arial" w:cs="Arial"/>
          <w:lang w:val="en-GB"/>
        </w:rPr>
        <w:t xml:space="preserve"> on operating expenditure and 98 per cent on the capital programme</w:t>
      </w:r>
      <w:r w:rsidR="00710E45">
        <w:rPr>
          <w:rFonts w:ascii="Arial" w:eastAsia="Times New Roman" w:hAnsi="Arial" w:cs="Arial"/>
          <w:lang w:val="en-GB"/>
        </w:rPr>
        <w:t xml:space="preserve"> for the </w:t>
      </w:r>
      <w:r w:rsidR="004454A3">
        <w:rPr>
          <w:rFonts w:ascii="Arial" w:eastAsia="Times New Roman" w:hAnsi="Arial" w:cs="Arial"/>
          <w:lang w:val="en-GB"/>
        </w:rPr>
        <w:t>2019/20</w:t>
      </w:r>
      <w:r w:rsidRPr="00BA1351">
        <w:rPr>
          <w:rFonts w:ascii="Arial" w:eastAsia="Times New Roman" w:hAnsi="Arial" w:cs="Arial"/>
          <w:lang w:val="en-GB"/>
        </w:rPr>
        <w:t xml:space="preserve"> MTREF of which performance has been factored into the cash flow budget.</w:t>
      </w:r>
    </w:p>
    <w:p w:rsidR="00C11B68" w:rsidRPr="00BA1351" w:rsidRDefault="00C11B68" w:rsidP="00EE7C40">
      <w:pPr>
        <w:autoSpaceDE w:val="0"/>
        <w:autoSpaceDN w:val="0"/>
        <w:adjustRightInd w:val="0"/>
        <w:spacing w:after="0" w:line="240" w:lineRule="auto"/>
        <w:jc w:val="both"/>
        <w:rPr>
          <w:rFonts w:ascii="Arial" w:eastAsia="Times New Roman" w:hAnsi="Arial" w:cs="Arial"/>
          <w:lang w:val="en-GB"/>
        </w:rPr>
      </w:pPr>
    </w:p>
    <w:p w:rsidR="00CB594D" w:rsidRDefault="00CB594D" w:rsidP="00EE7C40">
      <w:pPr>
        <w:pStyle w:val="Heading2"/>
        <w:spacing w:before="0" w:line="240" w:lineRule="auto"/>
        <w:rPr>
          <w:rFonts w:ascii="Arial" w:hAnsi="Arial" w:cs="Arial"/>
          <w:color w:val="auto"/>
        </w:rPr>
      </w:pPr>
      <w:bookmarkStart w:id="154" w:name="_Toc286034131"/>
      <w:bookmarkStart w:id="155" w:name="_Toc286034722"/>
      <w:bookmarkStart w:id="156" w:name="_Toc286041444"/>
      <w:bookmarkStart w:id="157" w:name="_Toc286041513"/>
      <w:bookmarkStart w:id="158" w:name="_Toc286117324"/>
      <w:bookmarkStart w:id="159" w:name="_Toc287342535"/>
      <w:r w:rsidRPr="00397C37">
        <w:rPr>
          <w:rFonts w:ascii="Arial" w:hAnsi="Arial" w:cs="Arial"/>
          <w:color w:val="auto"/>
        </w:rPr>
        <w:t>Overview of budget funding</w:t>
      </w:r>
      <w:bookmarkEnd w:id="154"/>
      <w:bookmarkEnd w:id="155"/>
      <w:bookmarkEnd w:id="156"/>
      <w:bookmarkEnd w:id="157"/>
      <w:bookmarkEnd w:id="158"/>
      <w:bookmarkEnd w:id="159"/>
    </w:p>
    <w:p w:rsidR="00EE7C40" w:rsidRPr="00EE7C40" w:rsidRDefault="00EE7C40" w:rsidP="00EE7C40">
      <w:pPr>
        <w:spacing w:after="0" w:line="240" w:lineRule="auto"/>
        <w:rPr>
          <w:rFonts w:ascii="Arial" w:hAnsi="Arial" w:cs="Arial"/>
        </w:rPr>
      </w:pPr>
    </w:p>
    <w:p w:rsidR="00D7229D" w:rsidRPr="00956A70" w:rsidRDefault="00BA21C3" w:rsidP="00956A70">
      <w:pPr>
        <w:pStyle w:val="Heading3"/>
        <w:rPr>
          <w:rFonts w:ascii="Arial" w:eastAsia="Times New Roman" w:hAnsi="Arial" w:cs="Arial"/>
          <w:color w:val="auto"/>
          <w:lang w:val="en-GB"/>
        </w:rPr>
      </w:pPr>
      <w:bookmarkStart w:id="160" w:name="_Toc286034132"/>
      <w:bookmarkStart w:id="161" w:name="_Toc286034723"/>
      <w:r>
        <w:rPr>
          <w:rFonts w:ascii="Arial" w:eastAsia="Times New Roman" w:hAnsi="Arial" w:cs="Arial"/>
          <w:color w:val="auto"/>
          <w:lang w:val="en-GB"/>
        </w:rPr>
        <w:t>Medium-term o</w:t>
      </w:r>
      <w:r w:rsidR="00D7229D" w:rsidRPr="00956A70">
        <w:rPr>
          <w:rFonts w:ascii="Arial" w:eastAsia="Times New Roman" w:hAnsi="Arial" w:cs="Arial"/>
          <w:color w:val="auto"/>
          <w:lang w:val="en-GB"/>
        </w:rPr>
        <w:t xml:space="preserve">utlook: </w:t>
      </w:r>
      <w:r>
        <w:rPr>
          <w:rFonts w:ascii="Arial" w:eastAsia="Times New Roman" w:hAnsi="Arial" w:cs="Arial"/>
          <w:color w:val="auto"/>
          <w:lang w:val="en-GB"/>
        </w:rPr>
        <w:t>o</w:t>
      </w:r>
      <w:r w:rsidR="00D7229D" w:rsidRPr="00956A70">
        <w:rPr>
          <w:rFonts w:ascii="Arial" w:eastAsia="Times New Roman" w:hAnsi="Arial" w:cs="Arial"/>
          <w:color w:val="auto"/>
          <w:lang w:val="en-GB"/>
        </w:rPr>
        <w:t>perating</w:t>
      </w:r>
      <w:r>
        <w:rPr>
          <w:rFonts w:ascii="Arial" w:eastAsia="Times New Roman" w:hAnsi="Arial" w:cs="Arial"/>
          <w:color w:val="auto"/>
          <w:lang w:val="en-GB"/>
        </w:rPr>
        <w:t xml:space="preserve"> r</w:t>
      </w:r>
      <w:r w:rsidR="001F1511" w:rsidRPr="00956A70">
        <w:rPr>
          <w:rFonts w:ascii="Arial" w:eastAsia="Times New Roman" w:hAnsi="Arial" w:cs="Arial"/>
          <w:color w:val="auto"/>
          <w:lang w:val="en-GB"/>
        </w:rPr>
        <w:t>evenue</w:t>
      </w:r>
      <w:bookmarkEnd w:id="160"/>
      <w:bookmarkEnd w:id="161"/>
    </w:p>
    <w:p w:rsidR="00EE7C40" w:rsidRPr="001F1511" w:rsidRDefault="00EE7C40" w:rsidP="00EE7C40">
      <w:pPr>
        <w:spacing w:after="0" w:line="240" w:lineRule="auto"/>
        <w:jc w:val="both"/>
        <w:rPr>
          <w:rFonts w:ascii="Arial" w:eastAsia="Times New Roman" w:hAnsi="Arial" w:cs="Arial"/>
          <w:b/>
          <w:lang w:val="en-GB"/>
        </w:rPr>
      </w:pPr>
    </w:p>
    <w:p w:rsidR="001F1511" w:rsidRPr="001F1511" w:rsidRDefault="001F1511" w:rsidP="00EE7C40">
      <w:pPr>
        <w:spacing w:after="0" w:line="240" w:lineRule="auto"/>
        <w:jc w:val="both"/>
        <w:rPr>
          <w:rFonts w:ascii="Arial" w:eastAsia="Times New Roman" w:hAnsi="Arial" w:cs="Arial"/>
          <w:lang w:val="en-GB"/>
        </w:rPr>
      </w:pPr>
      <w:r>
        <w:rPr>
          <w:rFonts w:ascii="Arial" w:eastAsia="Times New Roman" w:hAnsi="Arial" w:cs="Arial"/>
          <w:lang w:val="en-GB"/>
        </w:rPr>
        <w:t>The following table is a breakdown of the operating revenue over</w:t>
      </w:r>
      <w:r w:rsidR="007F722D">
        <w:rPr>
          <w:rFonts w:ascii="Arial" w:eastAsia="Times New Roman" w:hAnsi="Arial" w:cs="Arial"/>
          <w:lang w:val="en-GB"/>
        </w:rPr>
        <w:t xml:space="preserve"> the </w:t>
      </w:r>
      <w:r>
        <w:rPr>
          <w:rFonts w:ascii="Arial" w:eastAsia="Times New Roman" w:hAnsi="Arial" w:cs="Arial"/>
          <w:lang w:val="en-GB"/>
        </w:rPr>
        <w:t>medium-term:</w:t>
      </w:r>
    </w:p>
    <w:p w:rsidR="00BA21C3" w:rsidRDefault="00BA21C3" w:rsidP="00BA21C3">
      <w:pPr>
        <w:spacing w:after="0" w:line="240" w:lineRule="auto"/>
        <w:jc w:val="both"/>
        <w:rPr>
          <w:rFonts w:ascii="Arial" w:hAnsi="Arial" w:cs="Arial"/>
          <w:i/>
          <w:sz w:val="20"/>
          <w:szCs w:val="20"/>
        </w:rPr>
      </w:pPr>
    </w:p>
    <w:p w:rsidR="00BA21C3" w:rsidRPr="00BA21C3" w:rsidRDefault="00BA21C3" w:rsidP="00BA21C3">
      <w:pPr>
        <w:pStyle w:val="Caption"/>
        <w:keepNext/>
      </w:pPr>
      <w:bookmarkStart w:id="162" w:name="_Toc287342476"/>
      <w:r>
        <w:t xml:space="preserve">Table </w:t>
      </w:r>
      <w:r w:rsidR="00951EB5">
        <w:fldChar w:fldCharType="begin"/>
      </w:r>
      <w:r w:rsidR="009F6B4A">
        <w:instrText xml:space="preserve"> SEQ Table \* ARABIC </w:instrText>
      </w:r>
      <w:r w:rsidR="00951EB5">
        <w:fldChar w:fldCharType="separate"/>
      </w:r>
      <w:r w:rsidR="00FB5E13">
        <w:rPr>
          <w:noProof/>
        </w:rPr>
        <w:t>20</w:t>
      </w:r>
      <w:r w:rsidR="00951EB5">
        <w:rPr>
          <w:noProof/>
        </w:rPr>
        <w:fldChar w:fldCharType="end"/>
      </w:r>
      <w:r>
        <w:t xml:space="preserve"> </w:t>
      </w:r>
      <w:r w:rsidRPr="00BA21C3">
        <w:t xml:space="preserve"> Breakdown of the operating revenue over the medium-term</w:t>
      </w:r>
      <w:bookmarkEnd w:id="162"/>
    </w:p>
    <w:p w:rsidR="00F06372" w:rsidRDefault="00A10411" w:rsidP="00CC0EE0">
      <w:pPr>
        <w:spacing w:after="0" w:line="240" w:lineRule="auto"/>
        <w:jc w:val="both"/>
        <w:rPr>
          <w:rFonts w:ascii="Arial" w:hAnsi="Arial" w:cs="Arial"/>
          <w:color w:val="E36C0A" w:themeColor="accent6" w:themeShade="BF"/>
          <w:sz w:val="24"/>
          <w:szCs w:val="24"/>
        </w:rPr>
      </w:pPr>
      <w:r>
        <w:rPr>
          <w:rFonts w:ascii="Arial" w:hAnsi="Arial" w:cs="Arial"/>
          <w:noProof/>
          <w:color w:val="E36C0A" w:themeColor="accent6" w:themeShade="BF"/>
          <w:sz w:val="24"/>
          <w:szCs w:val="24"/>
          <w:lang w:val="en-ZA" w:eastAsia="en-ZA"/>
        </w:rPr>
        <w:drawing>
          <wp:inline distT="0" distB="0" distL="0" distR="0" wp14:anchorId="5BFDCC26">
            <wp:extent cx="5944235" cy="29692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4235" cy="2969260"/>
                    </a:xfrm>
                    <a:prstGeom prst="rect">
                      <a:avLst/>
                    </a:prstGeom>
                    <a:noFill/>
                  </pic:spPr>
                </pic:pic>
              </a:graphicData>
            </a:graphic>
          </wp:inline>
        </w:drawing>
      </w:r>
    </w:p>
    <w:p w:rsidR="005638A1" w:rsidRDefault="005638A1" w:rsidP="005638A1">
      <w:pPr>
        <w:spacing w:after="0" w:line="240" w:lineRule="auto"/>
        <w:jc w:val="both"/>
        <w:rPr>
          <w:rFonts w:ascii="Arial" w:hAnsi="Arial" w:cs="Arial"/>
        </w:rPr>
      </w:pPr>
    </w:p>
    <w:p w:rsidR="009D077A" w:rsidRDefault="009D077A" w:rsidP="005638A1">
      <w:pPr>
        <w:spacing w:after="0" w:line="240" w:lineRule="auto"/>
        <w:jc w:val="both"/>
        <w:rPr>
          <w:rFonts w:ascii="Arial" w:hAnsi="Arial" w:cs="Arial"/>
        </w:rPr>
      </w:pPr>
      <w:r>
        <w:rPr>
          <w:rFonts w:ascii="Arial" w:hAnsi="Arial" w:cs="Arial"/>
        </w:rPr>
        <w:t xml:space="preserve">The following graph is a breakdown of the operational revenue </w:t>
      </w:r>
      <w:r w:rsidR="00F05079">
        <w:rPr>
          <w:rFonts w:ascii="Arial" w:hAnsi="Arial" w:cs="Arial"/>
        </w:rPr>
        <w:t>p</w:t>
      </w:r>
      <w:r w:rsidR="00710E45">
        <w:rPr>
          <w:rFonts w:ascii="Arial" w:hAnsi="Arial" w:cs="Arial"/>
        </w:rPr>
        <w:t xml:space="preserve">er main category for the </w:t>
      </w:r>
      <w:r w:rsidR="004454A3">
        <w:rPr>
          <w:rFonts w:ascii="Arial" w:hAnsi="Arial" w:cs="Arial"/>
        </w:rPr>
        <w:t>2019/20</w:t>
      </w:r>
      <w:r w:rsidR="00F05079">
        <w:rPr>
          <w:rFonts w:ascii="Arial" w:hAnsi="Arial" w:cs="Arial"/>
        </w:rPr>
        <w:t xml:space="preserve"> financial year</w:t>
      </w:r>
      <w:r>
        <w:rPr>
          <w:rFonts w:ascii="Arial" w:hAnsi="Arial" w:cs="Arial"/>
        </w:rPr>
        <w:t>.</w:t>
      </w:r>
    </w:p>
    <w:p w:rsidR="009D077A" w:rsidRDefault="009D077A" w:rsidP="005638A1">
      <w:pPr>
        <w:spacing w:after="0" w:line="240" w:lineRule="auto"/>
        <w:jc w:val="both"/>
        <w:rPr>
          <w:rFonts w:ascii="Arial" w:hAnsi="Arial" w:cs="Arial"/>
        </w:rPr>
      </w:pPr>
    </w:p>
    <w:p w:rsidR="00A10411" w:rsidRDefault="00A10411" w:rsidP="005638A1">
      <w:pPr>
        <w:spacing w:after="0" w:line="240" w:lineRule="auto"/>
        <w:jc w:val="both"/>
        <w:rPr>
          <w:rFonts w:ascii="Arial" w:hAnsi="Arial" w:cs="Arial"/>
        </w:rPr>
      </w:pPr>
    </w:p>
    <w:p w:rsidR="00A10411" w:rsidRDefault="00A10411" w:rsidP="005638A1">
      <w:pPr>
        <w:spacing w:after="0" w:line="240" w:lineRule="auto"/>
        <w:jc w:val="both"/>
        <w:rPr>
          <w:rFonts w:ascii="Arial" w:hAnsi="Arial" w:cs="Arial"/>
        </w:rPr>
      </w:pPr>
    </w:p>
    <w:p w:rsidR="00A10411" w:rsidRDefault="00A10411" w:rsidP="005638A1">
      <w:pPr>
        <w:spacing w:after="0" w:line="240" w:lineRule="auto"/>
        <w:jc w:val="both"/>
        <w:rPr>
          <w:rFonts w:ascii="Arial" w:hAnsi="Arial" w:cs="Arial"/>
        </w:rPr>
      </w:pPr>
    </w:p>
    <w:p w:rsidR="00A10411" w:rsidRDefault="00A10411" w:rsidP="005638A1">
      <w:pPr>
        <w:spacing w:after="0" w:line="240" w:lineRule="auto"/>
        <w:jc w:val="both"/>
        <w:rPr>
          <w:rFonts w:ascii="Arial" w:hAnsi="Arial" w:cs="Arial"/>
        </w:rPr>
      </w:pPr>
      <w:r>
        <w:rPr>
          <w:rFonts w:ascii="Arial" w:hAnsi="Arial" w:cs="Arial"/>
          <w:noProof/>
          <w:lang w:val="en-ZA" w:eastAsia="en-ZA"/>
        </w:rPr>
        <w:drawing>
          <wp:inline distT="0" distB="0" distL="0" distR="0" wp14:anchorId="25238BC3">
            <wp:extent cx="5597718" cy="330454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04746" cy="3308689"/>
                    </a:xfrm>
                    <a:prstGeom prst="rect">
                      <a:avLst/>
                    </a:prstGeom>
                    <a:noFill/>
                  </pic:spPr>
                </pic:pic>
              </a:graphicData>
            </a:graphic>
          </wp:inline>
        </w:drawing>
      </w:r>
    </w:p>
    <w:p w:rsidR="009D077A" w:rsidRDefault="009D077A" w:rsidP="005638A1">
      <w:pPr>
        <w:spacing w:after="0" w:line="240" w:lineRule="auto"/>
        <w:jc w:val="both"/>
        <w:rPr>
          <w:rFonts w:ascii="Arial" w:hAnsi="Arial" w:cs="Arial"/>
        </w:rPr>
      </w:pPr>
    </w:p>
    <w:p w:rsidR="00FA0745" w:rsidRDefault="00FA0745" w:rsidP="004C254E">
      <w:pPr>
        <w:pStyle w:val="Caption"/>
        <w:spacing w:before="120"/>
      </w:pPr>
      <w:bookmarkStart w:id="163" w:name="_Toc287342516"/>
    </w:p>
    <w:p w:rsidR="00ED6927" w:rsidRDefault="00ED6927" w:rsidP="00ED6927"/>
    <w:p w:rsidR="00ED6927" w:rsidRPr="00ED6927" w:rsidRDefault="00ED6927" w:rsidP="00ED6927"/>
    <w:p w:rsidR="009D077A" w:rsidRDefault="009D077A" w:rsidP="004C254E">
      <w:pPr>
        <w:pStyle w:val="Caption"/>
        <w:spacing w:before="120"/>
      </w:pPr>
      <w:r>
        <w:t xml:space="preserve">Figure </w:t>
      </w:r>
      <w:r w:rsidR="00951EB5">
        <w:fldChar w:fldCharType="begin"/>
      </w:r>
      <w:r w:rsidR="00B7350D">
        <w:instrText xml:space="preserve"> SEQ Figure \* ARABIC </w:instrText>
      </w:r>
      <w:r w:rsidR="00951EB5">
        <w:fldChar w:fldCharType="separate"/>
      </w:r>
      <w:r w:rsidR="00FB5E13">
        <w:rPr>
          <w:noProof/>
        </w:rPr>
        <w:t>4</w:t>
      </w:r>
      <w:r w:rsidR="00951EB5">
        <w:rPr>
          <w:noProof/>
        </w:rPr>
        <w:fldChar w:fldCharType="end"/>
      </w:r>
      <w:r>
        <w:t xml:space="preserve">  Breakdown of op</w:t>
      </w:r>
      <w:r w:rsidR="00710E45">
        <w:t xml:space="preserve">erating revenue over the </w:t>
      </w:r>
      <w:r w:rsidR="004454A3">
        <w:t>2019/20</w:t>
      </w:r>
      <w:r>
        <w:t xml:space="preserve"> MTREF</w:t>
      </w:r>
      <w:bookmarkEnd w:id="163"/>
    </w:p>
    <w:p w:rsidR="008F2F44" w:rsidRPr="008F2F44" w:rsidRDefault="008F2F44" w:rsidP="008F2F44"/>
    <w:p w:rsidR="005638A1" w:rsidRPr="005638A1" w:rsidRDefault="005638A1" w:rsidP="005638A1">
      <w:pPr>
        <w:spacing w:after="0" w:line="240" w:lineRule="auto"/>
        <w:jc w:val="both"/>
        <w:rPr>
          <w:rFonts w:ascii="Arial" w:hAnsi="Arial" w:cs="Arial"/>
        </w:rPr>
      </w:pPr>
      <w:r w:rsidRPr="005638A1">
        <w:rPr>
          <w:rFonts w:ascii="Arial" w:hAnsi="Arial" w:cs="Arial"/>
        </w:rPr>
        <w:t>Tariff setting plays a major role in ensuring desired levels of revenue</w:t>
      </w:r>
      <w:r w:rsidR="00BA21C3">
        <w:rPr>
          <w:rFonts w:ascii="Arial" w:hAnsi="Arial" w:cs="Arial"/>
        </w:rPr>
        <w:t xml:space="preserve">. </w:t>
      </w:r>
      <w:r w:rsidR="009F1B1B">
        <w:rPr>
          <w:rFonts w:ascii="Arial" w:hAnsi="Arial" w:cs="Arial"/>
        </w:rPr>
        <w:t xml:space="preserve">Getting tariffs right assists </w:t>
      </w:r>
      <w:r w:rsidRPr="005638A1">
        <w:rPr>
          <w:rFonts w:ascii="Arial" w:hAnsi="Arial" w:cs="Arial"/>
        </w:rPr>
        <w:t xml:space="preserve">in the compilation of a credible and </w:t>
      </w:r>
      <w:r w:rsidR="00A73F84">
        <w:rPr>
          <w:rFonts w:ascii="Arial" w:hAnsi="Arial" w:cs="Arial"/>
        </w:rPr>
        <w:t xml:space="preserve">funded </w:t>
      </w:r>
      <w:r w:rsidRPr="005638A1">
        <w:rPr>
          <w:rFonts w:ascii="Arial" w:hAnsi="Arial" w:cs="Arial"/>
        </w:rPr>
        <w:t>budget</w:t>
      </w:r>
      <w:r>
        <w:rPr>
          <w:rFonts w:ascii="Arial" w:hAnsi="Arial" w:cs="Arial"/>
        </w:rPr>
        <w:t>.</w:t>
      </w:r>
      <w:r w:rsidRPr="005638A1">
        <w:rPr>
          <w:rFonts w:ascii="Arial" w:hAnsi="Arial" w:cs="Arial"/>
        </w:rPr>
        <w:t xml:space="preserve"> </w:t>
      </w:r>
      <w:r w:rsidR="00C37A36">
        <w:rPr>
          <w:rFonts w:ascii="Arial" w:hAnsi="Arial" w:cs="Arial"/>
        </w:rPr>
        <w:t xml:space="preserve"> </w:t>
      </w:r>
      <w:r w:rsidR="00710E45">
        <w:rPr>
          <w:rFonts w:ascii="Arial" w:hAnsi="Arial" w:cs="Arial"/>
        </w:rPr>
        <w:t>The municipality</w:t>
      </w:r>
      <w:r>
        <w:rPr>
          <w:rFonts w:ascii="Arial" w:hAnsi="Arial" w:cs="Arial"/>
        </w:rPr>
        <w:t xml:space="preserve"> </w:t>
      </w:r>
      <w:r w:rsidRPr="005638A1">
        <w:rPr>
          <w:rFonts w:ascii="Arial" w:hAnsi="Arial" w:cs="Arial"/>
        </w:rPr>
        <w:t xml:space="preserve">derives </w:t>
      </w:r>
      <w:r w:rsidR="009F1B1B">
        <w:rPr>
          <w:rFonts w:ascii="Arial" w:hAnsi="Arial" w:cs="Arial"/>
        </w:rPr>
        <w:t xml:space="preserve">most of </w:t>
      </w:r>
      <w:r w:rsidRPr="005638A1">
        <w:rPr>
          <w:rFonts w:ascii="Arial" w:hAnsi="Arial" w:cs="Arial"/>
        </w:rPr>
        <w:t>its</w:t>
      </w:r>
      <w:r>
        <w:rPr>
          <w:rFonts w:ascii="Arial" w:hAnsi="Arial" w:cs="Arial"/>
        </w:rPr>
        <w:t xml:space="preserve"> operational </w:t>
      </w:r>
      <w:r w:rsidRPr="005638A1">
        <w:rPr>
          <w:rFonts w:ascii="Arial" w:hAnsi="Arial" w:cs="Arial"/>
        </w:rPr>
        <w:t>revenue from the provision of goods and services such as water, electricity, sanitation and solid waste removal.  Property rates, operating and capital grants from organs of state and other minor charges (such as building plan fees</w:t>
      </w:r>
      <w:r>
        <w:rPr>
          <w:rFonts w:ascii="Arial" w:hAnsi="Arial" w:cs="Arial"/>
        </w:rPr>
        <w:t xml:space="preserve">, licenses and permits </w:t>
      </w:r>
      <w:proofErr w:type="spellStart"/>
      <w:r>
        <w:rPr>
          <w:rFonts w:ascii="Arial" w:hAnsi="Arial" w:cs="Arial"/>
        </w:rPr>
        <w:t>etc</w:t>
      </w:r>
      <w:proofErr w:type="spellEnd"/>
      <w:r w:rsidRPr="005638A1">
        <w:rPr>
          <w:rFonts w:ascii="Arial" w:hAnsi="Arial" w:cs="Arial"/>
        </w:rPr>
        <w:t>).</w:t>
      </w:r>
    </w:p>
    <w:p w:rsidR="005638A1" w:rsidRPr="005638A1" w:rsidRDefault="005638A1" w:rsidP="005638A1">
      <w:pPr>
        <w:spacing w:after="0" w:line="240" w:lineRule="auto"/>
        <w:jc w:val="both"/>
        <w:rPr>
          <w:rFonts w:ascii="Arial" w:hAnsi="Arial" w:cs="Arial"/>
        </w:rPr>
      </w:pPr>
    </w:p>
    <w:p w:rsidR="005638A1" w:rsidRPr="005638A1" w:rsidRDefault="005638A1" w:rsidP="005638A1">
      <w:pPr>
        <w:spacing w:after="0" w:line="240" w:lineRule="auto"/>
        <w:jc w:val="both"/>
        <w:rPr>
          <w:rFonts w:ascii="Arial" w:hAnsi="Arial" w:cs="Arial"/>
        </w:rPr>
      </w:pPr>
      <w:r w:rsidRPr="005638A1">
        <w:rPr>
          <w:rFonts w:ascii="Arial" w:hAnsi="Arial" w:cs="Arial"/>
        </w:rPr>
        <w:t>The revenue strategy is a function of key components such as:</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Growth in the city and economic development</w:t>
      </w:r>
      <w:r>
        <w:rPr>
          <w:rFonts w:ascii="Arial" w:hAnsi="Arial" w:cs="Arial"/>
        </w:rPr>
        <w:t>;</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Revenue</w:t>
      </w:r>
      <w:r w:rsidR="00D05213">
        <w:rPr>
          <w:rFonts w:ascii="Arial" w:hAnsi="Arial" w:cs="Arial"/>
        </w:rPr>
        <w:t xml:space="preserve"> management and </w:t>
      </w:r>
      <w:r w:rsidRPr="005638A1">
        <w:rPr>
          <w:rFonts w:ascii="Arial" w:hAnsi="Arial" w:cs="Arial"/>
        </w:rPr>
        <w:t>enhancement</w:t>
      </w:r>
      <w:r>
        <w:rPr>
          <w:rFonts w:ascii="Arial" w:hAnsi="Arial" w:cs="Arial"/>
        </w:rPr>
        <w:t>;</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 xml:space="preserve">Achievement of </w:t>
      </w:r>
      <w:r w:rsidR="00710E45">
        <w:rPr>
          <w:rFonts w:ascii="Arial" w:hAnsi="Arial" w:cs="Arial"/>
        </w:rPr>
        <w:t>average 80</w:t>
      </w:r>
      <w:r w:rsidR="00A873A2">
        <w:rPr>
          <w:rFonts w:ascii="Arial" w:hAnsi="Arial" w:cs="Arial"/>
        </w:rPr>
        <w:t xml:space="preserve"> per cent</w:t>
      </w:r>
      <w:r w:rsidRPr="005638A1">
        <w:rPr>
          <w:rFonts w:ascii="Arial" w:hAnsi="Arial" w:cs="Arial"/>
        </w:rPr>
        <w:t xml:space="preserve"> annual collection rate for consumer revenue</w:t>
      </w:r>
      <w:r>
        <w:rPr>
          <w:rFonts w:ascii="Arial" w:hAnsi="Arial" w:cs="Arial"/>
        </w:rPr>
        <w:t>;</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National Treasury guidelines</w:t>
      </w:r>
      <w:r>
        <w:rPr>
          <w:rFonts w:ascii="Arial" w:hAnsi="Arial" w:cs="Arial"/>
        </w:rPr>
        <w:t>;</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Electricity tariff increases within the National Electricity Regulator of South Africa (NERSA) approval</w:t>
      </w:r>
      <w:r>
        <w:rPr>
          <w:rFonts w:ascii="Arial" w:hAnsi="Arial" w:cs="Arial"/>
        </w:rPr>
        <w:t>;</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Achievement of full cost recovery of specific user charges</w:t>
      </w:r>
      <w:r>
        <w:rPr>
          <w:rFonts w:ascii="Arial" w:hAnsi="Arial" w:cs="Arial"/>
        </w:rPr>
        <w:t>;</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Determining tariff escalation rate by establishing/calculating revenue requirement</w:t>
      </w:r>
      <w:r>
        <w:rPr>
          <w:rFonts w:ascii="Arial" w:hAnsi="Arial" w:cs="Arial"/>
        </w:rPr>
        <w:t>s;</w:t>
      </w:r>
    </w:p>
    <w:p w:rsidR="005638A1" w:rsidRP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sidRPr="005638A1">
        <w:rPr>
          <w:rFonts w:ascii="Arial" w:hAnsi="Arial" w:cs="Arial"/>
        </w:rPr>
        <w:t>The Property Rates Policy in terms of the Municipal Property Rates Act, 2004 (Act 6 of 2004) (MPRA)</w:t>
      </w:r>
      <w:r>
        <w:rPr>
          <w:rFonts w:ascii="Arial" w:hAnsi="Arial" w:cs="Arial"/>
        </w:rPr>
        <w:t xml:space="preserve">, and </w:t>
      </w:r>
    </w:p>
    <w:p w:rsidR="005638A1" w:rsidRDefault="005638A1" w:rsidP="00E50C0E">
      <w:pPr>
        <w:numPr>
          <w:ilvl w:val="0"/>
          <w:numId w:val="5"/>
        </w:numPr>
        <w:tabs>
          <w:tab w:val="clear" w:pos="720"/>
          <w:tab w:val="num" w:pos="1418"/>
        </w:tabs>
        <w:spacing w:after="0" w:line="240" w:lineRule="auto"/>
        <w:ind w:left="709" w:hanging="709"/>
        <w:jc w:val="both"/>
        <w:rPr>
          <w:rFonts w:ascii="Arial" w:hAnsi="Arial" w:cs="Arial"/>
        </w:rPr>
      </w:pPr>
      <w:r>
        <w:rPr>
          <w:rFonts w:ascii="Arial" w:hAnsi="Arial" w:cs="Arial"/>
        </w:rPr>
        <w:t xml:space="preserve">And the </w:t>
      </w:r>
      <w:r w:rsidRPr="005638A1">
        <w:rPr>
          <w:rFonts w:ascii="Arial" w:hAnsi="Arial" w:cs="Arial"/>
        </w:rPr>
        <w:t xml:space="preserve">ability to extend new services and </w:t>
      </w:r>
      <w:r>
        <w:rPr>
          <w:rFonts w:ascii="Arial" w:hAnsi="Arial" w:cs="Arial"/>
        </w:rPr>
        <w:t xml:space="preserve">obtain </w:t>
      </w:r>
      <w:r w:rsidRPr="005638A1">
        <w:rPr>
          <w:rFonts w:ascii="Arial" w:hAnsi="Arial" w:cs="Arial"/>
        </w:rPr>
        <w:t>cost recovery</w:t>
      </w:r>
      <w:r>
        <w:rPr>
          <w:rFonts w:ascii="Arial" w:hAnsi="Arial" w:cs="Arial"/>
        </w:rPr>
        <w:t xml:space="preserve"> levels</w:t>
      </w:r>
      <w:r w:rsidRPr="005638A1">
        <w:rPr>
          <w:rFonts w:ascii="Arial" w:hAnsi="Arial" w:cs="Arial"/>
        </w:rPr>
        <w:t>.</w:t>
      </w:r>
    </w:p>
    <w:p w:rsidR="005638A1" w:rsidRPr="005638A1" w:rsidRDefault="005638A1" w:rsidP="005638A1">
      <w:pPr>
        <w:spacing w:after="0" w:line="240" w:lineRule="auto"/>
        <w:jc w:val="both"/>
        <w:rPr>
          <w:rFonts w:ascii="Arial" w:hAnsi="Arial" w:cs="Arial"/>
        </w:rPr>
      </w:pPr>
    </w:p>
    <w:p w:rsidR="00633B01" w:rsidRDefault="00633B01" w:rsidP="00CC0EE0">
      <w:pPr>
        <w:spacing w:after="0" w:line="240" w:lineRule="auto"/>
        <w:jc w:val="both"/>
        <w:rPr>
          <w:rFonts w:ascii="Arial" w:hAnsi="Arial" w:cs="Arial"/>
        </w:rPr>
      </w:pPr>
      <w:r>
        <w:rPr>
          <w:rFonts w:ascii="Arial" w:hAnsi="Arial" w:cs="Arial"/>
        </w:rPr>
        <w:t>T</w:t>
      </w:r>
      <w:r w:rsidRPr="005638A1">
        <w:rPr>
          <w:rFonts w:ascii="Arial" w:hAnsi="Arial" w:cs="Arial"/>
        </w:rPr>
        <w:t xml:space="preserve">he above principles </w:t>
      </w:r>
      <w:r w:rsidR="009F1B1B">
        <w:rPr>
          <w:rFonts w:ascii="Arial" w:hAnsi="Arial" w:cs="Arial"/>
        </w:rPr>
        <w:t xml:space="preserve">guide </w:t>
      </w:r>
      <w:r w:rsidRPr="005638A1">
        <w:rPr>
          <w:rFonts w:ascii="Arial" w:hAnsi="Arial" w:cs="Arial"/>
        </w:rPr>
        <w:t>the annual increase in the tariffs charged to the consumers and the ratepayers aligned to the economi</w:t>
      </w:r>
      <w:r w:rsidR="009F1B1B">
        <w:rPr>
          <w:rFonts w:ascii="Arial" w:hAnsi="Arial" w:cs="Arial"/>
        </w:rPr>
        <w:t>c forecasts</w:t>
      </w:r>
      <w:r w:rsidRPr="005638A1">
        <w:rPr>
          <w:rFonts w:ascii="Arial" w:hAnsi="Arial" w:cs="Arial"/>
        </w:rPr>
        <w:t>.</w:t>
      </w:r>
    </w:p>
    <w:p w:rsidR="00633B01" w:rsidRPr="00633B01" w:rsidRDefault="00633B01" w:rsidP="00633B01">
      <w:pPr>
        <w:spacing w:after="0" w:line="240" w:lineRule="auto"/>
        <w:jc w:val="both"/>
        <w:rPr>
          <w:rFonts w:ascii="Arial" w:hAnsi="Arial" w:cs="Arial"/>
        </w:rPr>
      </w:pPr>
    </w:p>
    <w:p w:rsidR="00633B01" w:rsidRDefault="00633B01" w:rsidP="00D05213">
      <w:pPr>
        <w:spacing w:after="0" w:line="240" w:lineRule="auto"/>
        <w:jc w:val="both"/>
        <w:rPr>
          <w:rFonts w:ascii="Arial" w:hAnsi="Arial" w:cs="Arial"/>
        </w:rPr>
      </w:pPr>
    </w:p>
    <w:p w:rsidR="00EA6BF6" w:rsidRPr="00EA6BF6" w:rsidRDefault="00A10411" w:rsidP="00EA6BF6">
      <w:pPr>
        <w:pStyle w:val="Caption"/>
      </w:pPr>
      <w:r w:rsidRPr="00A10411">
        <w:rPr>
          <w:noProof/>
          <w:lang w:val="en-ZA" w:eastAsia="en-ZA"/>
        </w:rPr>
        <w:drawing>
          <wp:inline distT="0" distB="0" distL="0" distR="0">
            <wp:extent cx="5057140" cy="27514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57140" cy="2751455"/>
                    </a:xfrm>
                    <a:prstGeom prst="rect">
                      <a:avLst/>
                    </a:prstGeom>
                    <a:noFill/>
                    <a:ln>
                      <a:noFill/>
                    </a:ln>
                  </pic:spPr>
                </pic:pic>
              </a:graphicData>
            </a:graphic>
          </wp:inline>
        </w:drawing>
      </w:r>
    </w:p>
    <w:p w:rsidR="00E44D28" w:rsidRDefault="00E44D28" w:rsidP="00CC0EE0">
      <w:pPr>
        <w:spacing w:after="0" w:line="240" w:lineRule="auto"/>
        <w:jc w:val="both"/>
        <w:rPr>
          <w:rFonts w:ascii="Arial" w:hAnsi="Arial" w:cs="Arial"/>
        </w:rPr>
      </w:pPr>
    </w:p>
    <w:p w:rsidR="00520B2A" w:rsidRDefault="00520B2A" w:rsidP="00CC0EE0">
      <w:pPr>
        <w:spacing w:after="0" w:line="240" w:lineRule="auto"/>
        <w:jc w:val="both"/>
        <w:rPr>
          <w:rFonts w:ascii="Arial" w:hAnsi="Arial" w:cs="Arial"/>
        </w:rPr>
      </w:pPr>
    </w:p>
    <w:p w:rsidR="00CB691F" w:rsidRPr="009D077A" w:rsidRDefault="00CB691F" w:rsidP="004C254E">
      <w:pPr>
        <w:pStyle w:val="Caption"/>
        <w:spacing w:before="120"/>
      </w:pPr>
      <w:bookmarkStart w:id="164" w:name="_Toc287342517"/>
      <w:r>
        <w:t xml:space="preserve">Figure </w:t>
      </w:r>
      <w:r w:rsidR="00951EB5">
        <w:fldChar w:fldCharType="begin"/>
      </w:r>
      <w:r w:rsidR="00B7350D">
        <w:instrText xml:space="preserve"> SEQ Figure \* ARABIC </w:instrText>
      </w:r>
      <w:r w:rsidR="00951EB5">
        <w:fldChar w:fldCharType="separate"/>
      </w:r>
      <w:r w:rsidR="00FB5E13">
        <w:rPr>
          <w:noProof/>
        </w:rPr>
        <w:t>5</w:t>
      </w:r>
      <w:r w:rsidR="00951EB5">
        <w:rPr>
          <w:noProof/>
        </w:rPr>
        <w:fldChar w:fldCharType="end"/>
      </w:r>
      <w:r>
        <w:t xml:space="preserve">  Sources of</w:t>
      </w:r>
      <w:r w:rsidR="00710E45">
        <w:t xml:space="preserve"> capital revenue for the </w:t>
      </w:r>
      <w:r w:rsidR="004454A3">
        <w:t>2019/20</w:t>
      </w:r>
      <w:r>
        <w:t xml:space="preserve"> financial year</w:t>
      </w:r>
      <w:bookmarkEnd w:id="164"/>
    </w:p>
    <w:p w:rsidR="00E56FBA" w:rsidRDefault="00A10411" w:rsidP="00633B01">
      <w:pPr>
        <w:spacing w:after="0" w:line="240" w:lineRule="auto"/>
        <w:jc w:val="both"/>
        <w:rPr>
          <w:rFonts w:ascii="Arial" w:eastAsia="Times New Roman" w:hAnsi="Arial" w:cs="Arial"/>
          <w:lang w:val="en-GB"/>
        </w:rPr>
      </w:pPr>
      <w:r>
        <w:rPr>
          <w:rFonts w:ascii="Arial" w:eastAsia="Times New Roman" w:hAnsi="Arial" w:cs="Arial"/>
          <w:noProof/>
          <w:lang w:val="en-ZA" w:eastAsia="en-ZA"/>
        </w:rPr>
        <w:drawing>
          <wp:inline distT="0" distB="0" distL="0" distR="0" wp14:anchorId="195DEA79">
            <wp:extent cx="5526157" cy="22987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2235" cy="2301228"/>
                    </a:xfrm>
                    <a:prstGeom prst="rect">
                      <a:avLst/>
                    </a:prstGeom>
                    <a:noFill/>
                  </pic:spPr>
                </pic:pic>
              </a:graphicData>
            </a:graphic>
          </wp:inline>
        </w:drawing>
      </w:r>
    </w:p>
    <w:p w:rsidR="00E56FBA" w:rsidRDefault="00E56FBA" w:rsidP="00633B01">
      <w:pPr>
        <w:spacing w:after="0" w:line="240" w:lineRule="auto"/>
        <w:jc w:val="both"/>
        <w:rPr>
          <w:rFonts w:ascii="Arial" w:eastAsia="Times New Roman" w:hAnsi="Arial" w:cs="Arial"/>
          <w:lang w:val="en-GB"/>
        </w:rPr>
      </w:pPr>
    </w:p>
    <w:p w:rsidR="00601CA4" w:rsidRDefault="00601CA4" w:rsidP="00633B01">
      <w:pPr>
        <w:spacing w:after="0" w:line="240" w:lineRule="auto"/>
        <w:jc w:val="both"/>
        <w:rPr>
          <w:rFonts w:ascii="Arial" w:eastAsia="Times New Roman" w:hAnsi="Arial" w:cs="Arial"/>
          <w:lang w:val="en-GB"/>
        </w:rPr>
      </w:pPr>
      <w:r>
        <w:rPr>
          <w:rFonts w:ascii="Arial" w:eastAsia="Times New Roman" w:hAnsi="Arial" w:cs="Arial"/>
          <w:lang w:val="en-GB"/>
        </w:rPr>
        <w:t>Capital g</w:t>
      </w:r>
      <w:r w:rsidR="00710E45">
        <w:rPr>
          <w:rFonts w:ascii="Arial" w:eastAsia="Times New Roman" w:hAnsi="Arial" w:cs="Arial"/>
          <w:lang w:val="en-GB"/>
        </w:rPr>
        <w:t>rants and receipts equates to 99</w:t>
      </w:r>
      <w:r>
        <w:rPr>
          <w:rFonts w:ascii="Arial" w:eastAsia="Times New Roman" w:hAnsi="Arial" w:cs="Arial"/>
          <w:lang w:val="en-GB"/>
        </w:rPr>
        <w:t xml:space="preserve"> per cent of the total funding so</w:t>
      </w:r>
      <w:r w:rsidR="004454A3">
        <w:rPr>
          <w:rFonts w:ascii="Arial" w:eastAsia="Times New Roman" w:hAnsi="Arial" w:cs="Arial"/>
          <w:lang w:val="en-GB"/>
        </w:rPr>
        <w:t>urce which represents R44</w:t>
      </w:r>
      <w:r w:rsidR="000774D6">
        <w:rPr>
          <w:rFonts w:ascii="Arial" w:eastAsia="Times New Roman" w:hAnsi="Arial" w:cs="Arial"/>
          <w:lang w:val="en-GB"/>
        </w:rPr>
        <w:t xml:space="preserve"> </w:t>
      </w:r>
      <w:r w:rsidR="00710E45">
        <w:rPr>
          <w:rFonts w:ascii="Arial" w:eastAsia="Times New Roman" w:hAnsi="Arial" w:cs="Arial"/>
          <w:lang w:val="en-GB"/>
        </w:rPr>
        <w:t xml:space="preserve">million for the </w:t>
      </w:r>
      <w:r w:rsidR="004454A3">
        <w:rPr>
          <w:rFonts w:ascii="Arial" w:eastAsia="Times New Roman" w:hAnsi="Arial" w:cs="Arial"/>
          <w:lang w:val="en-GB"/>
        </w:rPr>
        <w:t>2019/20</w:t>
      </w:r>
      <w:r>
        <w:rPr>
          <w:rFonts w:ascii="Arial" w:eastAsia="Times New Roman" w:hAnsi="Arial" w:cs="Arial"/>
          <w:lang w:val="en-GB"/>
        </w:rPr>
        <w:t xml:space="preserve"> financial year</w:t>
      </w:r>
      <w:r w:rsidR="001D25FC">
        <w:rPr>
          <w:rFonts w:ascii="Arial" w:eastAsia="Times New Roman" w:hAnsi="Arial" w:cs="Arial"/>
          <w:lang w:val="en-GB"/>
        </w:rPr>
        <w:t>.</w:t>
      </w:r>
      <w:r>
        <w:rPr>
          <w:rFonts w:ascii="Arial" w:eastAsia="Times New Roman" w:hAnsi="Arial" w:cs="Arial"/>
          <w:lang w:val="en-GB"/>
        </w:rPr>
        <w:t xml:space="preserve"> </w:t>
      </w:r>
    </w:p>
    <w:p w:rsidR="00601CA4" w:rsidRDefault="00601CA4" w:rsidP="00633B01">
      <w:pPr>
        <w:spacing w:after="0" w:line="240" w:lineRule="auto"/>
        <w:jc w:val="both"/>
        <w:rPr>
          <w:rFonts w:ascii="Arial" w:eastAsia="Times New Roman" w:hAnsi="Arial" w:cs="Arial"/>
          <w:lang w:val="en-GB"/>
        </w:rPr>
      </w:pPr>
    </w:p>
    <w:p w:rsidR="00A22EB1" w:rsidRDefault="00A22EB1" w:rsidP="00633B01">
      <w:pPr>
        <w:spacing w:after="0" w:line="240" w:lineRule="auto"/>
        <w:jc w:val="both"/>
        <w:rPr>
          <w:rFonts w:ascii="Arial" w:eastAsia="Times New Roman" w:hAnsi="Arial" w:cs="Arial"/>
          <w:lang w:val="en-GB"/>
        </w:rPr>
      </w:pPr>
    </w:p>
    <w:p w:rsidR="00F17958" w:rsidRDefault="00F17958" w:rsidP="00633B01">
      <w:pPr>
        <w:spacing w:after="0" w:line="240" w:lineRule="auto"/>
        <w:jc w:val="both"/>
        <w:rPr>
          <w:rFonts w:ascii="Arial" w:eastAsia="Times New Roman" w:hAnsi="Arial" w:cs="Arial"/>
          <w:lang w:val="en-GB"/>
        </w:rPr>
      </w:pPr>
    </w:p>
    <w:p w:rsidR="001275DB" w:rsidRDefault="001275DB" w:rsidP="001275DB">
      <w:pPr>
        <w:spacing w:after="0" w:line="240" w:lineRule="auto"/>
        <w:jc w:val="both"/>
        <w:rPr>
          <w:rFonts w:ascii="Arial" w:hAnsi="Arial" w:cs="Arial"/>
        </w:rPr>
      </w:pPr>
    </w:p>
    <w:p w:rsidR="001275DB" w:rsidRPr="001275DB" w:rsidRDefault="001275DB" w:rsidP="001275DB">
      <w:pPr>
        <w:pStyle w:val="Caption"/>
        <w:keepNext/>
      </w:pPr>
      <w:bookmarkStart w:id="165" w:name="_Toc287342483"/>
      <w:r>
        <w:t xml:space="preserve">Table </w:t>
      </w:r>
      <w:r w:rsidR="00951EB5">
        <w:fldChar w:fldCharType="begin"/>
      </w:r>
      <w:r w:rsidR="009F6B4A">
        <w:instrText xml:space="preserve"> SEQ Table \* ARABIC </w:instrText>
      </w:r>
      <w:r w:rsidR="00951EB5">
        <w:fldChar w:fldCharType="separate"/>
      </w:r>
      <w:r w:rsidR="00FB5E13">
        <w:rPr>
          <w:noProof/>
        </w:rPr>
        <w:t>26</w:t>
      </w:r>
      <w:r w:rsidR="00951EB5">
        <w:rPr>
          <w:noProof/>
        </w:rPr>
        <w:fldChar w:fldCharType="end"/>
      </w:r>
      <w:r>
        <w:t xml:space="preserve">  </w:t>
      </w:r>
      <w:r w:rsidR="00E50C0E">
        <w:t xml:space="preserve">MBRR </w:t>
      </w:r>
      <w:r>
        <w:t>Table</w:t>
      </w:r>
      <w:r w:rsidRPr="001275DB">
        <w:t xml:space="preserve"> A7</w:t>
      </w:r>
      <w:r w:rsidR="00B374C8">
        <w:t xml:space="preserve"> - </w:t>
      </w:r>
      <w:r w:rsidRPr="001275DB">
        <w:t>Budget cash flow statement</w:t>
      </w:r>
      <w:bookmarkEnd w:id="165"/>
    </w:p>
    <w:p w:rsidR="00633B01" w:rsidRDefault="00A10411" w:rsidP="00F767A2">
      <w:pPr>
        <w:spacing w:after="0" w:line="240" w:lineRule="auto"/>
        <w:jc w:val="both"/>
      </w:pPr>
      <w:r w:rsidRPr="00A10411">
        <w:rPr>
          <w:noProof/>
          <w:lang w:val="en-ZA" w:eastAsia="en-ZA"/>
        </w:rPr>
        <w:drawing>
          <wp:inline distT="0" distB="0" distL="0" distR="0">
            <wp:extent cx="5335270" cy="58045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5270" cy="5804535"/>
                    </a:xfrm>
                    <a:prstGeom prst="rect">
                      <a:avLst/>
                    </a:prstGeom>
                    <a:noFill/>
                    <a:ln>
                      <a:noFill/>
                    </a:ln>
                  </pic:spPr>
                </pic:pic>
              </a:graphicData>
            </a:graphic>
          </wp:inline>
        </w:drawing>
      </w:r>
    </w:p>
    <w:p w:rsidR="00F767A2" w:rsidRDefault="00F767A2" w:rsidP="00F767A2">
      <w:pPr>
        <w:spacing w:after="0" w:line="240" w:lineRule="auto"/>
        <w:jc w:val="both"/>
        <w:rPr>
          <w:rFonts w:ascii="Arial" w:eastAsia="Times New Roman" w:hAnsi="Arial" w:cs="Arial"/>
          <w:b/>
          <w:lang w:val="en-GB"/>
        </w:rPr>
      </w:pPr>
    </w:p>
    <w:p w:rsidR="001D25FC" w:rsidRDefault="00634DB2" w:rsidP="001D25FC">
      <w:pPr>
        <w:spacing w:after="0" w:line="240" w:lineRule="auto"/>
        <w:jc w:val="both"/>
        <w:rPr>
          <w:rFonts w:ascii="Arial" w:eastAsia="Times New Roman" w:hAnsi="Arial" w:cs="Arial"/>
          <w:lang w:val="en-GB"/>
        </w:rPr>
      </w:pPr>
      <w:r>
        <w:rPr>
          <w:rFonts w:ascii="Arial" w:eastAsia="Times New Roman" w:hAnsi="Arial" w:cs="Arial"/>
          <w:lang w:val="en-GB"/>
        </w:rPr>
        <w:t xml:space="preserve">The above table shows that </w:t>
      </w:r>
      <w:r w:rsidR="00F767A2">
        <w:rPr>
          <w:rFonts w:ascii="Arial" w:eastAsia="Times New Roman" w:hAnsi="Arial" w:cs="Arial"/>
          <w:lang w:val="en-GB"/>
        </w:rPr>
        <w:t>cash and cash equivalent</w:t>
      </w:r>
      <w:r>
        <w:rPr>
          <w:rFonts w:ascii="Arial" w:eastAsia="Times New Roman" w:hAnsi="Arial" w:cs="Arial"/>
          <w:lang w:val="en-GB"/>
        </w:rPr>
        <w:t>s</w:t>
      </w:r>
      <w:r w:rsidR="001D25FC">
        <w:rPr>
          <w:rFonts w:ascii="Arial" w:eastAsia="Times New Roman" w:hAnsi="Arial" w:cs="Arial"/>
          <w:lang w:val="en-GB"/>
        </w:rPr>
        <w:t xml:space="preserve"> of the municipality</w:t>
      </w:r>
      <w:r w:rsidR="00F767A2">
        <w:rPr>
          <w:rFonts w:ascii="Arial" w:eastAsia="Times New Roman" w:hAnsi="Arial" w:cs="Arial"/>
          <w:lang w:val="en-GB"/>
        </w:rPr>
        <w:t xml:space="preserve"> </w:t>
      </w:r>
      <w:bookmarkStart w:id="166" w:name="_Toc286034135"/>
      <w:bookmarkStart w:id="167" w:name="_Toc286034726"/>
      <w:r w:rsidR="001D25FC">
        <w:rPr>
          <w:rFonts w:ascii="Arial" w:eastAsia="Times New Roman" w:hAnsi="Arial" w:cs="Arial"/>
          <w:lang w:val="en-GB"/>
        </w:rPr>
        <w:t>have steadily decreased overtime.</w:t>
      </w:r>
    </w:p>
    <w:p w:rsidR="00FA0F8A" w:rsidRDefault="00FA0F8A" w:rsidP="001D25FC">
      <w:pPr>
        <w:spacing w:after="0" w:line="240" w:lineRule="auto"/>
        <w:jc w:val="both"/>
        <w:rPr>
          <w:rFonts w:ascii="Arial" w:eastAsia="Times New Roman" w:hAnsi="Arial" w:cs="Arial"/>
          <w:lang w:val="en-GB"/>
        </w:rPr>
      </w:pPr>
    </w:p>
    <w:p w:rsidR="00FA0F8A" w:rsidRDefault="00FA0F8A" w:rsidP="001D25FC">
      <w:pPr>
        <w:spacing w:after="0" w:line="240" w:lineRule="auto"/>
        <w:jc w:val="both"/>
        <w:rPr>
          <w:rFonts w:ascii="Arial" w:eastAsia="Times New Roman" w:hAnsi="Arial" w:cs="Arial"/>
          <w:lang w:val="en-GB"/>
        </w:rPr>
      </w:pPr>
    </w:p>
    <w:p w:rsidR="00633B01" w:rsidRDefault="00F767A2" w:rsidP="001D25FC">
      <w:pPr>
        <w:spacing w:after="0" w:line="240" w:lineRule="auto"/>
        <w:jc w:val="both"/>
        <w:rPr>
          <w:rFonts w:ascii="Arial" w:eastAsia="Times New Roman" w:hAnsi="Arial" w:cs="Arial"/>
          <w:lang w:val="en-GB"/>
        </w:rPr>
      </w:pPr>
      <w:r w:rsidRPr="00956A70">
        <w:rPr>
          <w:rFonts w:ascii="Arial" w:eastAsia="Times New Roman" w:hAnsi="Arial" w:cs="Arial"/>
          <w:lang w:val="en-GB"/>
        </w:rPr>
        <w:t xml:space="preserve">Cash </w:t>
      </w:r>
      <w:r w:rsidR="0079627E" w:rsidRPr="00956A70">
        <w:rPr>
          <w:rFonts w:ascii="Arial" w:eastAsia="Times New Roman" w:hAnsi="Arial" w:cs="Arial"/>
          <w:lang w:val="en-GB"/>
        </w:rPr>
        <w:t>B</w:t>
      </w:r>
      <w:r w:rsidRPr="00956A70">
        <w:rPr>
          <w:rFonts w:ascii="Arial" w:eastAsia="Times New Roman" w:hAnsi="Arial" w:cs="Arial"/>
          <w:lang w:val="en-GB"/>
        </w:rPr>
        <w:t xml:space="preserve">acked </w:t>
      </w:r>
      <w:r w:rsidR="0079627E" w:rsidRPr="00956A70">
        <w:rPr>
          <w:rFonts w:ascii="Arial" w:eastAsia="Times New Roman" w:hAnsi="Arial" w:cs="Arial"/>
          <w:lang w:val="en-GB"/>
        </w:rPr>
        <w:t>R</w:t>
      </w:r>
      <w:r w:rsidRPr="00956A70">
        <w:rPr>
          <w:rFonts w:ascii="Arial" w:eastAsia="Times New Roman" w:hAnsi="Arial" w:cs="Arial"/>
          <w:lang w:val="en-GB"/>
        </w:rPr>
        <w:t>eserves/</w:t>
      </w:r>
      <w:r w:rsidR="0079627E" w:rsidRPr="00956A70">
        <w:rPr>
          <w:rFonts w:ascii="Arial" w:eastAsia="Times New Roman" w:hAnsi="Arial" w:cs="Arial"/>
          <w:lang w:val="en-GB"/>
        </w:rPr>
        <w:t>A</w:t>
      </w:r>
      <w:r w:rsidRPr="00956A70">
        <w:rPr>
          <w:rFonts w:ascii="Arial" w:eastAsia="Times New Roman" w:hAnsi="Arial" w:cs="Arial"/>
          <w:lang w:val="en-GB"/>
        </w:rPr>
        <w:t xml:space="preserve">ccumulated </w:t>
      </w:r>
      <w:r w:rsidR="0079627E" w:rsidRPr="00956A70">
        <w:rPr>
          <w:rFonts w:ascii="Arial" w:eastAsia="Times New Roman" w:hAnsi="Arial" w:cs="Arial"/>
          <w:lang w:val="en-GB"/>
        </w:rPr>
        <w:t>S</w:t>
      </w:r>
      <w:r w:rsidRPr="00956A70">
        <w:rPr>
          <w:rFonts w:ascii="Arial" w:eastAsia="Times New Roman" w:hAnsi="Arial" w:cs="Arial"/>
          <w:lang w:val="en-GB"/>
        </w:rPr>
        <w:t xml:space="preserve">urplus </w:t>
      </w:r>
      <w:r w:rsidR="0079627E" w:rsidRPr="00956A70">
        <w:rPr>
          <w:rFonts w:ascii="Arial" w:eastAsia="Times New Roman" w:hAnsi="Arial" w:cs="Arial"/>
          <w:lang w:val="en-GB"/>
        </w:rPr>
        <w:t>R</w:t>
      </w:r>
      <w:r w:rsidRPr="00956A70">
        <w:rPr>
          <w:rFonts w:ascii="Arial" w:eastAsia="Times New Roman" w:hAnsi="Arial" w:cs="Arial"/>
          <w:lang w:val="en-GB"/>
        </w:rPr>
        <w:t>econciliation</w:t>
      </w:r>
      <w:bookmarkEnd w:id="166"/>
      <w:bookmarkEnd w:id="167"/>
    </w:p>
    <w:p w:rsidR="00634DB2" w:rsidRDefault="00634DB2" w:rsidP="00634DB2">
      <w:pPr>
        <w:spacing w:after="0" w:line="240" w:lineRule="auto"/>
        <w:jc w:val="both"/>
        <w:rPr>
          <w:rFonts w:ascii="Arial" w:eastAsia="Times New Roman" w:hAnsi="Arial" w:cs="Arial"/>
          <w:lang w:val="en-GB"/>
        </w:rPr>
      </w:pPr>
    </w:p>
    <w:p w:rsidR="00634DB2" w:rsidRDefault="00634DB2" w:rsidP="00634DB2">
      <w:pPr>
        <w:spacing w:after="0" w:line="240" w:lineRule="auto"/>
        <w:jc w:val="both"/>
        <w:rPr>
          <w:rFonts w:ascii="Arial" w:eastAsia="Times New Roman" w:hAnsi="Arial" w:cs="Arial"/>
          <w:lang w:val="en-GB"/>
        </w:rPr>
      </w:pPr>
      <w:r w:rsidRPr="002933E1">
        <w:rPr>
          <w:rFonts w:ascii="Arial" w:eastAsia="Times New Roman" w:hAnsi="Arial" w:cs="Arial"/>
          <w:lang w:val="en-GB"/>
        </w:rPr>
        <w:t xml:space="preserve">This </w:t>
      </w:r>
      <w:r>
        <w:rPr>
          <w:rFonts w:ascii="Arial" w:eastAsia="Times New Roman" w:hAnsi="Arial" w:cs="Arial"/>
          <w:lang w:val="en-GB"/>
        </w:rPr>
        <w:t xml:space="preserve">following </w:t>
      </w:r>
      <w:r w:rsidRPr="002933E1">
        <w:rPr>
          <w:rFonts w:ascii="Arial" w:eastAsia="Times New Roman" w:hAnsi="Arial" w:cs="Arial"/>
          <w:lang w:val="en-GB"/>
        </w:rPr>
        <w:t>table meets the requirements of MFMA Circular 42 which deals with the funding of a municipal budget</w:t>
      </w:r>
      <w:r w:rsidR="005D6F98">
        <w:rPr>
          <w:rFonts w:ascii="Arial" w:eastAsia="Times New Roman" w:hAnsi="Arial" w:cs="Arial"/>
          <w:lang w:val="en-GB"/>
        </w:rPr>
        <w:t xml:space="preserve"> in accordance with sections 18 and 19 of the MFMA</w:t>
      </w:r>
      <w:r w:rsidRPr="002933E1">
        <w:rPr>
          <w:rFonts w:ascii="Arial" w:eastAsia="Times New Roman" w:hAnsi="Arial" w:cs="Arial"/>
          <w:lang w:val="en-GB"/>
        </w:rPr>
        <w:t xml:space="preserve">.  The </w:t>
      </w:r>
      <w:r w:rsidR="005D6F98">
        <w:rPr>
          <w:rFonts w:ascii="Arial" w:eastAsia="Times New Roman" w:hAnsi="Arial" w:cs="Arial"/>
          <w:lang w:val="en-GB"/>
        </w:rPr>
        <w:t xml:space="preserve">table seeks to answer three key questions regarding the use and availability of cash: </w:t>
      </w:r>
    </w:p>
    <w:p w:rsidR="00634DB2" w:rsidRDefault="00634DB2" w:rsidP="00634DB2">
      <w:pPr>
        <w:spacing w:after="0" w:line="240" w:lineRule="auto"/>
        <w:jc w:val="both"/>
      </w:pPr>
    </w:p>
    <w:p w:rsidR="00634DB2" w:rsidRPr="008339A5" w:rsidRDefault="00634DB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What are the predicted cash and investments that are available at the end of the budget year?</w:t>
      </w:r>
    </w:p>
    <w:p w:rsidR="00634DB2" w:rsidRPr="008339A5" w:rsidRDefault="00634DB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How are those funds used?</w:t>
      </w:r>
    </w:p>
    <w:p w:rsidR="00634DB2" w:rsidRPr="008339A5" w:rsidRDefault="00634DB2" w:rsidP="00E50C0E">
      <w:pPr>
        <w:numPr>
          <w:ilvl w:val="0"/>
          <w:numId w:val="5"/>
        </w:numPr>
        <w:tabs>
          <w:tab w:val="clear" w:pos="720"/>
          <w:tab w:val="num" w:pos="1418"/>
        </w:tabs>
        <w:spacing w:after="0" w:line="240" w:lineRule="auto"/>
        <w:ind w:left="709" w:hanging="709"/>
        <w:jc w:val="both"/>
        <w:rPr>
          <w:rFonts w:ascii="Arial" w:hAnsi="Arial" w:cs="Arial"/>
        </w:rPr>
      </w:pPr>
      <w:r w:rsidRPr="008339A5">
        <w:rPr>
          <w:rFonts w:ascii="Arial" w:hAnsi="Arial" w:cs="Arial"/>
        </w:rPr>
        <w:t>What is the net funds available or funding shortfall?</w:t>
      </w:r>
    </w:p>
    <w:p w:rsidR="00634DB2" w:rsidRDefault="00634DB2" w:rsidP="00634DB2">
      <w:pPr>
        <w:spacing w:after="0" w:line="240" w:lineRule="auto"/>
        <w:jc w:val="both"/>
        <w:rPr>
          <w:rFonts w:ascii="Arial" w:eastAsia="Times New Roman" w:hAnsi="Arial" w:cs="Arial"/>
          <w:lang w:val="en-GB"/>
        </w:rPr>
      </w:pPr>
    </w:p>
    <w:p w:rsidR="00F767A2" w:rsidRPr="008339A5" w:rsidRDefault="00634DB2" w:rsidP="000774D6">
      <w:pPr>
        <w:spacing w:after="0" w:line="240" w:lineRule="auto"/>
        <w:jc w:val="both"/>
        <w:rPr>
          <w:rFonts w:ascii="Arial" w:hAnsi="Arial" w:cs="Arial"/>
        </w:rPr>
      </w:pPr>
      <w:r w:rsidRPr="002933E1">
        <w:rPr>
          <w:rFonts w:ascii="Arial" w:eastAsia="Times New Roman" w:hAnsi="Arial" w:cs="Arial"/>
          <w:lang w:val="en-GB"/>
        </w:rPr>
        <w:t>A surplus would indicate the cash-backed accumulated surplus that was</w:t>
      </w:r>
      <w:r>
        <w:rPr>
          <w:rFonts w:ascii="Arial" w:eastAsia="Times New Roman" w:hAnsi="Arial" w:cs="Arial"/>
          <w:lang w:val="en-GB"/>
        </w:rPr>
        <w:t>/is</w:t>
      </w:r>
      <w:r w:rsidRPr="002933E1">
        <w:rPr>
          <w:rFonts w:ascii="Arial" w:eastAsia="Times New Roman" w:hAnsi="Arial" w:cs="Arial"/>
          <w:lang w:val="en-GB"/>
        </w:rPr>
        <w:t xml:space="preserve"> available. </w:t>
      </w:r>
      <w:r w:rsidR="00C37A36">
        <w:rPr>
          <w:rFonts w:ascii="Arial" w:eastAsia="Times New Roman" w:hAnsi="Arial" w:cs="Arial"/>
          <w:lang w:val="en-GB"/>
        </w:rPr>
        <w:t xml:space="preserve"> </w:t>
      </w:r>
      <w:r w:rsidRPr="002933E1">
        <w:rPr>
          <w:rFonts w:ascii="Arial" w:eastAsia="Times New Roman" w:hAnsi="Arial" w:cs="Arial"/>
          <w:lang w:val="en-GB"/>
        </w:rPr>
        <w:t xml:space="preserve">A shortfall (applications &gt; cash and investments) is indicative of non-compliance with </w:t>
      </w:r>
      <w:r w:rsidR="005D6F98">
        <w:rPr>
          <w:rFonts w:ascii="Arial" w:eastAsia="Times New Roman" w:hAnsi="Arial" w:cs="Arial"/>
          <w:lang w:val="en-GB"/>
        </w:rPr>
        <w:t xml:space="preserve">section 18 of the </w:t>
      </w:r>
      <w:r w:rsidRPr="002933E1">
        <w:rPr>
          <w:rFonts w:ascii="Arial" w:eastAsia="Times New Roman" w:hAnsi="Arial" w:cs="Arial"/>
          <w:lang w:val="en-GB"/>
        </w:rPr>
        <w:t xml:space="preserve">MFMA requirement that the municipality’s budget must be ‘funded’.  Non-compliance with section 18 is assumed because a shortfall would indirectly indicate that the annual budget is not appropriately funded (budgeted spending is greater than funds available or to be collected).  </w:t>
      </w:r>
      <w:r w:rsidR="002559FB">
        <w:rPr>
          <w:rFonts w:ascii="Arial" w:eastAsia="Times New Roman" w:hAnsi="Arial" w:cs="Arial"/>
          <w:lang w:val="en-GB"/>
        </w:rPr>
        <w:t xml:space="preserve"> </w:t>
      </w:r>
      <w:r w:rsidRPr="002933E1">
        <w:rPr>
          <w:rFonts w:ascii="Arial" w:eastAsia="Times New Roman" w:hAnsi="Arial" w:cs="Arial"/>
          <w:lang w:val="en-GB"/>
        </w:rPr>
        <w:t xml:space="preserve">It is also important to analyse trends to understand the consequences, e.g. the budget year might indicate a small surplus situation, which in itself is an appropriate outcome, but if </w:t>
      </w:r>
      <w:r w:rsidR="005D6F98">
        <w:rPr>
          <w:rFonts w:ascii="Arial" w:eastAsia="Times New Roman" w:hAnsi="Arial" w:cs="Arial"/>
          <w:lang w:val="en-GB"/>
        </w:rPr>
        <w:t xml:space="preserve">in </w:t>
      </w:r>
      <w:r w:rsidRPr="002933E1">
        <w:rPr>
          <w:rFonts w:ascii="Arial" w:eastAsia="Times New Roman" w:hAnsi="Arial" w:cs="Arial"/>
          <w:lang w:val="en-GB"/>
        </w:rPr>
        <w:t>prior year</w:t>
      </w:r>
      <w:r w:rsidR="005D6F98">
        <w:rPr>
          <w:rFonts w:ascii="Arial" w:eastAsia="Times New Roman" w:hAnsi="Arial" w:cs="Arial"/>
          <w:lang w:val="en-GB"/>
        </w:rPr>
        <w:t>s</w:t>
      </w:r>
      <w:r w:rsidRPr="002933E1">
        <w:rPr>
          <w:rFonts w:ascii="Arial" w:eastAsia="Times New Roman" w:hAnsi="Arial" w:cs="Arial"/>
          <w:lang w:val="en-GB"/>
        </w:rPr>
        <w:t xml:space="preserve"> </w:t>
      </w:r>
      <w:r w:rsidR="005D6F98">
        <w:rPr>
          <w:rFonts w:ascii="Arial" w:eastAsia="Times New Roman" w:hAnsi="Arial" w:cs="Arial"/>
          <w:lang w:val="en-GB"/>
        </w:rPr>
        <w:t xml:space="preserve">there were </w:t>
      </w:r>
      <w:r w:rsidRPr="002933E1">
        <w:rPr>
          <w:rFonts w:ascii="Arial" w:eastAsia="Times New Roman" w:hAnsi="Arial" w:cs="Arial"/>
          <w:lang w:val="en-GB"/>
        </w:rPr>
        <w:t>much larger surpluses then this negative trend may be a concern that requires closer examination.</w:t>
      </w:r>
    </w:p>
    <w:p w:rsidR="002933E1" w:rsidRDefault="002933E1" w:rsidP="002933E1">
      <w:pPr>
        <w:spacing w:after="0" w:line="240" w:lineRule="auto"/>
        <w:jc w:val="both"/>
        <w:rPr>
          <w:rFonts w:ascii="Arial" w:eastAsia="Times New Roman" w:hAnsi="Arial" w:cs="Arial"/>
          <w:lang w:val="en-GB"/>
        </w:rPr>
      </w:pPr>
    </w:p>
    <w:p w:rsidR="00036626" w:rsidRPr="00956A70" w:rsidRDefault="00036626" w:rsidP="00956A70">
      <w:pPr>
        <w:pStyle w:val="Heading3"/>
        <w:rPr>
          <w:rFonts w:ascii="Arial" w:eastAsia="Times New Roman" w:hAnsi="Arial" w:cs="Arial"/>
          <w:color w:val="auto"/>
          <w:lang w:val="en-GB"/>
        </w:rPr>
      </w:pPr>
      <w:bookmarkStart w:id="168" w:name="_Toc286034136"/>
      <w:bookmarkStart w:id="169" w:name="_Toc286034727"/>
      <w:r w:rsidRPr="00956A70">
        <w:rPr>
          <w:rFonts w:ascii="Arial" w:eastAsia="Times New Roman" w:hAnsi="Arial" w:cs="Arial"/>
          <w:color w:val="auto"/>
          <w:lang w:val="en-GB"/>
        </w:rPr>
        <w:t xml:space="preserve">Funding </w:t>
      </w:r>
      <w:r w:rsidR="007F2FD2">
        <w:rPr>
          <w:rFonts w:ascii="Arial" w:eastAsia="Times New Roman" w:hAnsi="Arial" w:cs="Arial"/>
          <w:color w:val="auto"/>
          <w:lang w:val="en-GB"/>
        </w:rPr>
        <w:t>compliance m</w:t>
      </w:r>
      <w:r w:rsidRPr="00956A70">
        <w:rPr>
          <w:rFonts w:ascii="Arial" w:eastAsia="Times New Roman" w:hAnsi="Arial" w:cs="Arial"/>
          <w:color w:val="auto"/>
          <w:lang w:val="en-GB"/>
        </w:rPr>
        <w:t>easurement</w:t>
      </w:r>
      <w:bookmarkEnd w:id="168"/>
      <w:bookmarkEnd w:id="169"/>
    </w:p>
    <w:p w:rsidR="002933E1" w:rsidRDefault="007F2FD2" w:rsidP="007F2FD2">
      <w:pPr>
        <w:keepNext/>
        <w:spacing w:after="0" w:line="240" w:lineRule="auto"/>
        <w:jc w:val="both"/>
        <w:rPr>
          <w:rFonts w:ascii="Arial" w:hAnsi="Arial" w:cs="Arial"/>
        </w:rPr>
      </w:pPr>
      <w:r>
        <w:rPr>
          <w:rFonts w:ascii="Arial" w:hAnsi="Arial" w:cs="Arial"/>
        </w:rPr>
        <w:t xml:space="preserve">National Treasury requires that the municipality assess its financial sustainability against fourteen different measures that look at various aspects of the financial health of the municipality. </w:t>
      </w:r>
      <w:r w:rsidR="002559FB">
        <w:rPr>
          <w:rFonts w:ascii="Arial" w:hAnsi="Arial" w:cs="Arial"/>
        </w:rPr>
        <w:t xml:space="preserve"> </w:t>
      </w:r>
      <w:r>
        <w:rPr>
          <w:rFonts w:ascii="Arial" w:hAnsi="Arial" w:cs="Arial"/>
        </w:rPr>
        <w:t>These measures</w:t>
      </w:r>
      <w:r w:rsidRPr="00963B9A">
        <w:rPr>
          <w:rFonts w:ascii="Arial" w:hAnsi="Arial" w:cs="Arial"/>
        </w:rPr>
        <w:t xml:space="preserve"> are contained in the </w:t>
      </w:r>
      <w:r>
        <w:rPr>
          <w:rFonts w:ascii="Arial" w:hAnsi="Arial" w:cs="Arial"/>
        </w:rPr>
        <w:t>following</w:t>
      </w:r>
      <w:r w:rsidRPr="00963B9A">
        <w:rPr>
          <w:rFonts w:ascii="Arial" w:hAnsi="Arial" w:cs="Arial"/>
        </w:rPr>
        <w:t xml:space="preserve"> table</w:t>
      </w:r>
      <w:r>
        <w:rPr>
          <w:rFonts w:ascii="Arial" w:hAnsi="Arial" w:cs="Arial"/>
        </w:rPr>
        <w:t xml:space="preserve">. </w:t>
      </w:r>
      <w:r w:rsidR="002559FB">
        <w:rPr>
          <w:rFonts w:ascii="Arial" w:hAnsi="Arial" w:cs="Arial"/>
        </w:rPr>
        <w:t xml:space="preserve"> </w:t>
      </w:r>
      <w:r>
        <w:rPr>
          <w:rFonts w:ascii="Arial" w:hAnsi="Arial" w:cs="Arial"/>
        </w:rPr>
        <w:t xml:space="preserve">All the information comes directly from the </w:t>
      </w:r>
      <w:r w:rsidRPr="00963B9A">
        <w:rPr>
          <w:rFonts w:ascii="Arial" w:hAnsi="Arial" w:cs="Arial"/>
        </w:rPr>
        <w:t>annual budget</w:t>
      </w:r>
      <w:r w:rsidR="00934C79">
        <w:rPr>
          <w:rFonts w:ascii="Arial" w:hAnsi="Arial" w:cs="Arial"/>
        </w:rPr>
        <w:t xml:space="preserve">ed </w:t>
      </w:r>
      <w:r w:rsidRPr="00963B9A">
        <w:rPr>
          <w:rFonts w:ascii="Arial" w:hAnsi="Arial" w:cs="Arial"/>
        </w:rPr>
        <w:t xml:space="preserve">statements of financial performance, financial position and cash flows. </w:t>
      </w:r>
      <w:r w:rsidR="002559FB">
        <w:rPr>
          <w:rFonts w:ascii="Arial" w:hAnsi="Arial" w:cs="Arial"/>
        </w:rPr>
        <w:t xml:space="preserve"> </w:t>
      </w:r>
      <w:r w:rsidRPr="00963B9A">
        <w:rPr>
          <w:rFonts w:ascii="Arial" w:hAnsi="Arial" w:cs="Arial"/>
        </w:rPr>
        <w:t xml:space="preserve">The funding </w:t>
      </w:r>
      <w:r w:rsidR="00934C79">
        <w:rPr>
          <w:rFonts w:ascii="Arial" w:hAnsi="Arial" w:cs="Arial"/>
        </w:rPr>
        <w:t xml:space="preserve">compliance </w:t>
      </w:r>
      <w:r w:rsidRPr="00963B9A">
        <w:rPr>
          <w:rFonts w:ascii="Arial" w:hAnsi="Arial" w:cs="Arial"/>
        </w:rPr>
        <w:t>measurement table essentially measures the degree to which the proposed budget comp</w:t>
      </w:r>
      <w:r w:rsidR="00934C79">
        <w:rPr>
          <w:rFonts w:ascii="Arial" w:hAnsi="Arial" w:cs="Arial"/>
        </w:rPr>
        <w:t xml:space="preserve">lies </w:t>
      </w:r>
      <w:r w:rsidRPr="00963B9A">
        <w:rPr>
          <w:rFonts w:ascii="Arial" w:hAnsi="Arial" w:cs="Arial"/>
        </w:rPr>
        <w:t xml:space="preserve">with the funding requirements of the MFMA. </w:t>
      </w:r>
      <w:r w:rsidR="002559FB">
        <w:rPr>
          <w:rFonts w:ascii="Arial" w:hAnsi="Arial" w:cs="Arial"/>
        </w:rPr>
        <w:t xml:space="preserve"> </w:t>
      </w:r>
      <w:r w:rsidR="00934C79">
        <w:rPr>
          <w:rFonts w:ascii="Arial" w:hAnsi="Arial" w:cs="Arial"/>
        </w:rPr>
        <w:t>Each of the measures is discussed below</w:t>
      </w:r>
      <w:r w:rsidRPr="00963B9A">
        <w:rPr>
          <w:rFonts w:ascii="Arial" w:hAnsi="Arial" w:cs="Arial"/>
        </w:rPr>
        <w:t>.</w:t>
      </w:r>
    </w:p>
    <w:p w:rsidR="00036626" w:rsidRPr="00A10411" w:rsidRDefault="00036626" w:rsidP="00A10411">
      <w:pPr>
        <w:pStyle w:val="Caption"/>
        <w:keepNext/>
      </w:pPr>
    </w:p>
    <w:p w:rsidR="00224BD1" w:rsidRPr="00956A70" w:rsidRDefault="00224BD1" w:rsidP="00956A70">
      <w:pPr>
        <w:rPr>
          <w:rFonts w:ascii="Arial" w:hAnsi="Arial" w:cs="Arial"/>
          <w:i/>
          <w:sz w:val="20"/>
          <w:szCs w:val="20"/>
        </w:rPr>
      </w:pPr>
    </w:p>
    <w:p w:rsidR="00EE7C40" w:rsidRPr="00934C79" w:rsidRDefault="00EE7C40" w:rsidP="001275DB">
      <w:pPr>
        <w:pStyle w:val="Heading4"/>
        <w:rPr>
          <w:rFonts w:ascii="Arial" w:hAnsi="Arial" w:cs="Arial"/>
          <w:b w:val="0"/>
          <w:bCs w:val="0"/>
          <w:color w:val="auto"/>
        </w:rPr>
      </w:pPr>
      <w:bookmarkStart w:id="170" w:name="_Toc286034137"/>
      <w:bookmarkStart w:id="171" w:name="_Toc286034728"/>
      <w:r w:rsidRPr="00934C79">
        <w:rPr>
          <w:rFonts w:ascii="Arial" w:hAnsi="Arial" w:cs="Arial"/>
          <w:b w:val="0"/>
          <w:bCs w:val="0"/>
          <w:color w:val="auto"/>
        </w:rPr>
        <w:t>Cash/cash equivalent position</w:t>
      </w:r>
      <w:bookmarkEnd w:id="170"/>
      <w:bookmarkEnd w:id="171"/>
    </w:p>
    <w:p w:rsidR="00EE7C40" w:rsidRPr="00C8149B" w:rsidRDefault="006413A9" w:rsidP="001275DB">
      <w:pPr>
        <w:autoSpaceDE w:val="0"/>
        <w:autoSpaceDN w:val="0"/>
        <w:adjustRightInd w:val="0"/>
        <w:spacing w:after="0" w:line="240" w:lineRule="auto"/>
        <w:jc w:val="both"/>
        <w:rPr>
          <w:rFonts w:ascii="Arial" w:hAnsi="Arial" w:cs="Arial"/>
        </w:rPr>
      </w:pPr>
      <w:r>
        <w:rPr>
          <w:rFonts w:ascii="Arial" w:hAnsi="Arial" w:cs="Arial"/>
          <w:bCs/>
        </w:rPr>
        <w:t>The municipality’s</w:t>
      </w:r>
      <w:r w:rsidR="00EE7C40" w:rsidRPr="00C8149B">
        <w:rPr>
          <w:rFonts w:ascii="Arial" w:hAnsi="Arial" w:cs="Arial"/>
          <w:bCs/>
        </w:rPr>
        <w:t xml:space="preserve"> </w:t>
      </w:r>
      <w:r w:rsidR="00EE7C40" w:rsidRPr="00C8149B">
        <w:rPr>
          <w:rFonts w:ascii="Arial" w:hAnsi="Arial" w:cs="Arial"/>
        </w:rPr>
        <w:t>forecast cash position was discussed as part of the budgeted cash flow statement</w:t>
      </w:r>
      <w:r w:rsidR="00224BD1" w:rsidRPr="00C8149B">
        <w:rPr>
          <w:rFonts w:ascii="Arial" w:hAnsi="Arial" w:cs="Arial"/>
        </w:rPr>
        <w:t xml:space="preserve">. </w:t>
      </w:r>
      <w:r w:rsidR="002559FB">
        <w:rPr>
          <w:rFonts w:ascii="Arial" w:hAnsi="Arial" w:cs="Arial"/>
        </w:rPr>
        <w:t xml:space="preserve"> </w:t>
      </w:r>
      <w:r w:rsidR="00EE7C40" w:rsidRPr="00C8149B">
        <w:rPr>
          <w:rFonts w:ascii="Arial" w:hAnsi="Arial" w:cs="Arial"/>
        </w:rPr>
        <w:t xml:space="preserve">A ‘positive’ cash position, for each year of the </w:t>
      </w:r>
      <w:r w:rsidR="00934C79">
        <w:rPr>
          <w:rFonts w:ascii="Arial" w:hAnsi="Arial" w:cs="Arial"/>
        </w:rPr>
        <w:t xml:space="preserve">MTREF </w:t>
      </w:r>
      <w:r w:rsidR="00EE7C40" w:rsidRPr="00C8149B">
        <w:rPr>
          <w:rFonts w:ascii="Arial" w:hAnsi="Arial" w:cs="Arial"/>
        </w:rPr>
        <w:t>would generally be a minimum</w:t>
      </w:r>
      <w:r w:rsidR="00224BD1" w:rsidRPr="00C8149B">
        <w:rPr>
          <w:rFonts w:ascii="Arial" w:hAnsi="Arial" w:cs="Arial"/>
        </w:rPr>
        <w:t xml:space="preserve"> </w:t>
      </w:r>
      <w:r w:rsidR="00EE7C40" w:rsidRPr="00C8149B">
        <w:rPr>
          <w:rFonts w:ascii="Arial" w:hAnsi="Arial" w:cs="Arial"/>
        </w:rPr>
        <w:t>requirement, subject to the planned application of</w:t>
      </w:r>
      <w:r w:rsidR="00224BD1" w:rsidRPr="00C8149B">
        <w:rPr>
          <w:rFonts w:ascii="Arial" w:hAnsi="Arial" w:cs="Arial"/>
        </w:rPr>
        <w:t xml:space="preserve"> </w:t>
      </w:r>
      <w:r w:rsidR="00EE7C40" w:rsidRPr="00C8149B">
        <w:rPr>
          <w:rFonts w:ascii="Arial" w:hAnsi="Arial" w:cs="Arial"/>
        </w:rPr>
        <w:t>these funds such as cash-backing of reserves and working capital requirements</w:t>
      </w:r>
      <w:r w:rsidR="00224BD1" w:rsidRPr="00C8149B">
        <w:rPr>
          <w:rFonts w:ascii="Arial" w:hAnsi="Arial" w:cs="Arial"/>
        </w:rPr>
        <w:t>.</w:t>
      </w:r>
    </w:p>
    <w:p w:rsidR="00224BD1" w:rsidRPr="00C8149B" w:rsidRDefault="00224BD1" w:rsidP="001275DB">
      <w:pPr>
        <w:autoSpaceDE w:val="0"/>
        <w:autoSpaceDN w:val="0"/>
        <w:adjustRightInd w:val="0"/>
        <w:spacing w:after="0" w:line="240" w:lineRule="auto"/>
        <w:jc w:val="both"/>
        <w:rPr>
          <w:rFonts w:ascii="Arial" w:hAnsi="Arial" w:cs="Arial"/>
        </w:rPr>
      </w:pPr>
    </w:p>
    <w:p w:rsidR="00224BD1" w:rsidRPr="00C8149B" w:rsidRDefault="00EE7C40" w:rsidP="001275DB">
      <w:pPr>
        <w:autoSpaceDE w:val="0"/>
        <w:autoSpaceDN w:val="0"/>
        <w:adjustRightInd w:val="0"/>
        <w:spacing w:after="0" w:line="240" w:lineRule="auto"/>
        <w:jc w:val="both"/>
        <w:rPr>
          <w:rFonts w:ascii="Arial" w:hAnsi="Arial" w:cs="Arial"/>
        </w:rPr>
      </w:pPr>
      <w:r w:rsidRPr="00C8149B">
        <w:rPr>
          <w:rFonts w:ascii="Arial" w:hAnsi="Arial" w:cs="Arial"/>
        </w:rPr>
        <w:t>If the municipality’s forecast cash position is negative, for any year of the medium</w:t>
      </w:r>
      <w:r w:rsidR="00224BD1" w:rsidRPr="00C8149B">
        <w:rPr>
          <w:rFonts w:ascii="Arial" w:hAnsi="Arial" w:cs="Arial"/>
        </w:rPr>
        <w:t xml:space="preserve"> </w:t>
      </w:r>
      <w:r w:rsidRPr="00C8149B">
        <w:rPr>
          <w:rFonts w:ascii="Arial" w:hAnsi="Arial" w:cs="Arial"/>
        </w:rPr>
        <w:t xml:space="preserve">term budget, the budget is </w:t>
      </w:r>
      <w:r w:rsidR="00934C79">
        <w:rPr>
          <w:rFonts w:ascii="Arial" w:hAnsi="Arial" w:cs="Arial"/>
        </w:rPr>
        <w:t xml:space="preserve">very </w:t>
      </w:r>
      <w:r w:rsidRPr="00C8149B">
        <w:rPr>
          <w:rFonts w:ascii="Arial" w:hAnsi="Arial" w:cs="Arial"/>
        </w:rPr>
        <w:t>unlikely to meet MFMA requirements or be sustainable</w:t>
      </w:r>
      <w:r w:rsidR="00224BD1" w:rsidRPr="00C8149B">
        <w:rPr>
          <w:rFonts w:ascii="Arial" w:hAnsi="Arial" w:cs="Arial"/>
        </w:rPr>
        <w:t xml:space="preserve"> </w:t>
      </w:r>
      <w:r w:rsidRPr="00C8149B">
        <w:rPr>
          <w:rFonts w:ascii="Arial" w:hAnsi="Arial" w:cs="Arial"/>
        </w:rPr>
        <w:t xml:space="preserve">and could indicate a risk of non-compliance with section 45 </w:t>
      </w:r>
      <w:r w:rsidR="00934C79">
        <w:rPr>
          <w:rFonts w:ascii="Arial" w:hAnsi="Arial" w:cs="Arial"/>
        </w:rPr>
        <w:t xml:space="preserve">of the MFMA which deals with the repayment of </w:t>
      </w:r>
      <w:r w:rsidRPr="00C8149B">
        <w:rPr>
          <w:rFonts w:ascii="Arial" w:hAnsi="Arial" w:cs="Arial"/>
        </w:rPr>
        <w:t>short term debt</w:t>
      </w:r>
      <w:r w:rsidR="00934C79">
        <w:rPr>
          <w:rFonts w:ascii="Arial" w:hAnsi="Arial" w:cs="Arial"/>
        </w:rPr>
        <w:t xml:space="preserve"> at the end of the financial year</w:t>
      </w:r>
      <w:r w:rsidRPr="00C8149B">
        <w:rPr>
          <w:rFonts w:ascii="Arial" w:hAnsi="Arial" w:cs="Arial"/>
        </w:rPr>
        <w:t>.</w:t>
      </w:r>
      <w:r w:rsidR="00224BD1" w:rsidRPr="00C8149B">
        <w:rPr>
          <w:rFonts w:ascii="Arial" w:hAnsi="Arial" w:cs="Arial"/>
        </w:rPr>
        <w:t xml:space="preserve"> </w:t>
      </w:r>
      <w:r w:rsidR="002559FB">
        <w:rPr>
          <w:rFonts w:ascii="Arial" w:hAnsi="Arial" w:cs="Arial"/>
        </w:rPr>
        <w:t xml:space="preserve"> </w:t>
      </w:r>
      <w:r w:rsidR="00224BD1" w:rsidRPr="00C8149B">
        <w:rPr>
          <w:rFonts w:ascii="Arial" w:hAnsi="Arial" w:cs="Arial"/>
        </w:rPr>
        <w:t xml:space="preserve">The forecasted cash and </w:t>
      </w:r>
      <w:r w:rsidR="006413A9">
        <w:rPr>
          <w:rFonts w:ascii="Arial" w:hAnsi="Arial" w:cs="Arial"/>
        </w:rPr>
        <w:t xml:space="preserve">cash equivalents for the </w:t>
      </w:r>
      <w:r w:rsidR="004454A3">
        <w:rPr>
          <w:rFonts w:ascii="Arial" w:hAnsi="Arial" w:cs="Arial"/>
        </w:rPr>
        <w:t>2019/20</w:t>
      </w:r>
      <w:r w:rsidR="00224BD1" w:rsidRPr="00C8149B">
        <w:rPr>
          <w:rFonts w:ascii="Arial" w:hAnsi="Arial" w:cs="Arial"/>
        </w:rPr>
        <w:t xml:space="preserve"> MTREF </w:t>
      </w:r>
      <w:r w:rsidR="00934C79">
        <w:rPr>
          <w:rFonts w:ascii="Arial" w:hAnsi="Arial" w:cs="Arial"/>
        </w:rPr>
        <w:t xml:space="preserve">shows </w:t>
      </w:r>
      <w:r w:rsidR="00224BD1" w:rsidRPr="00C8149B">
        <w:rPr>
          <w:rFonts w:ascii="Arial" w:hAnsi="Arial" w:cs="Arial"/>
        </w:rPr>
        <w:t>R</w:t>
      </w:r>
      <w:r w:rsidR="004454A3">
        <w:rPr>
          <w:rFonts w:ascii="Arial" w:hAnsi="Arial" w:cs="Arial"/>
        </w:rPr>
        <w:t>12</w:t>
      </w:r>
      <w:r w:rsidR="006413A9">
        <w:rPr>
          <w:rFonts w:ascii="Arial" w:hAnsi="Arial" w:cs="Arial"/>
        </w:rPr>
        <w:t xml:space="preserve"> million</w:t>
      </w:r>
      <w:r w:rsidR="00224BD1" w:rsidRPr="00C8149B">
        <w:rPr>
          <w:rFonts w:ascii="Arial" w:hAnsi="Arial" w:cs="Arial"/>
        </w:rPr>
        <w:t>, R</w:t>
      </w:r>
      <w:r w:rsidR="004454A3">
        <w:rPr>
          <w:rFonts w:ascii="Arial" w:hAnsi="Arial" w:cs="Arial"/>
        </w:rPr>
        <w:t>17</w:t>
      </w:r>
      <w:r w:rsidR="006413A9">
        <w:rPr>
          <w:rFonts w:ascii="Arial" w:hAnsi="Arial" w:cs="Arial"/>
        </w:rPr>
        <w:t xml:space="preserve"> million</w:t>
      </w:r>
      <w:r w:rsidR="00B333B2">
        <w:rPr>
          <w:rFonts w:ascii="Arial" w:hAnsi="Arial" w:cs="Arial"/>
        </w:rPr>
        <w:t xml:space="preserve"> </w:t>
      </w:r>
      <w:r w:rsidR="00224BD1" w:rsidRPr="00C8149B">
        <w:rPr>
          <w:rFonts w:ascii="Arial" w:hAnsi="Arial" w:cs="Arial"/>
        </w:rPr>
        <w:t>and R</w:t>
      </w:r>
      <w:r w:rsidR="004454A3">
        <w:rPr>
          <w:rFonts w:ascii="Arial" w:hAnsi="Arial" w:cs="Arial"/>
        </w:rPr>
        <w:t>17</w:t>
      </w:r>
      <w:r w:rsidR="006413A9">
        <w:rPr>
          <w:rFonts w:ascii="Arial" w:hAnsi="Arial" w:cs="Arial"/>
        </w:rPr>
        <w:t xml:space="preserve"> million</w:t>
      </w:r>
      <w:r w:rsidR="00B333B2">
        <w:rPr>
          <w:rFonts w:ascii="Arial" w:hAnsi="Arial" w:cs="Arial"/>
        </w:rPr>
        <w:t xml:space="preserve"> </w:t>
      </w:r>
      <w:r w:rsidR="00224BD1" w:rsidRPr="00C8149B">
        <w:rPr>
          <w:rFonts w:ascii="Arial" w:hAnsi="Arial" w:cs="Arial"/>
        </w:rPr>
        <w:t>for each respective financial year.</w:t>
      </w:r>
    </w:p>
    <w:p w:rsidR="00224BD1" w:rsidRPr="00C8149B" w:rsidRDefault="00224BD1" w:rsidP="001275DB">
      <w:pPr>
        <w:autoSpaceDE w:val="0"/>
        <w:autoSpaceDN w:val="0"/>
        <w:adjustRightInd w:val="0"/>
        <w:spacing w:after="0" w:line="240" w:lineRule="auto"/>
        <w:jc w:val="both"/>
        <w:rPr>
          <w:rFonts w:ascii="Arial" w:hAnsi="Arial" w:cs="Arial"/>
        </w:rPr>
      </w:pPr>
    </w:p>
    <w:p w:rsidR="00224BD1" w:rsidRPr="00934C79" w:rsidRDefault="00224BD1" w:rsidP="001275DB">
      <w:pPr>
        <w:pStyle w:val="Heading4"/>
        <w:rPr>
          <w:rFonts w:ascii="Arial" w:hAnsi="Arial" w:cs="Arial"/>
          <w:b w:val="0"/>
          <w:bCs w:val="0"/>
          <w:color w:val="auto"/>
        </w:rPr>
      </w:pPr>
      <w:bookmarkStart w:id="172" w:name="_Toc286034138"/>
      <w:bookmarkStart w:id="173" w:name="_Toc286034729"/>
      <w:r w:rsidRPr="00934C79">
        <w:rPr>
          <w:rFonts w:ascii="Arial" w:hAnsi="Arial" w:cs="Arial"/>
          <w:b w:val="0"/>
          <w:bCs w:val="0"/>
          <w:color w:val="auto"/>
        </w:rPr>
        <w:t>Cash plus investments less application of funds</w:t>
      </w:r>
      <w:bookmarkEnd w:id="172"/>
      <w:bookmarkEnd w:id="173"/>
    </w:p>
    <w:p w:rsidR="00224BD1" w:rsidRPr="00C8149B" w:rsidRDefault="00224BD1"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this measure is to understand how the municipality has applied the available cash and</w:t>
      </w:r>
      <w:r w:rsidR="00642F6F" w:rsidRPr="00C8149B">
        <w:rPr>
          <w:rFonts w:ascii="Arial" w:hAnsi="Arial" w:cs="Arial"/>
        </w:rPr>
        <w:t xml:space="preserve"> </w:t>
      </w:r>
      <w:r w:rsidRPr="00C8149B">
        <w:rPr>
          <w:rFonts w:ascii="Arial" w:hAnsi="Arial" w:cs="Arial"/>
        </w:rPr>
        <w:t xml:space="preserve">investments </w:t>
      </w:r>
      <w:r w:rsidR="00642F6F" w:rsidRPr="00C8149B">
        <w:rPr>
          <w:rFonts w:ascii="Arial" w:hAnsi="Arial" w:cs="Arial"/>
        </w:rPr>
        <w:t>as identified in the budgeted cash flow statement.</w:t>
      </w:r>
      <w:r w:rsidRPr="00C8149B">
        <w:rPr>
          <w:rFonts w:ascii="Arial" w:hAnsi="Arial" w:cs="Arial"/>
        </w:rPr>
        <w:t xml:space="preserve"> </w:t>
      </w:r>
      <w:r w:rsidR="002559FB">
        <w:rPr>
          <w:rFonts w:ascii="Arial" w:hAnsi="Arial" w:cs="Arial"/>
        </w:rPr>
        <w:t xml:space="preserve"> </w:t>
      </w:r>
      <w:r w:rsidR="00642F6F" w:rsidRPr="00C8149B">
        <w:rPr>
          <w:rFonts w:ascii="Arial" w:hAnsi="Arial" w:cs="Arial"/>
        </w:rPr>
        <w:t xml:space="preserve">The detail reconciliation of the cash backed reserves/surpluses is contained in Table </w:t>
      </w:r>
      <w:r w:rsidR="002559FB">
        <w:rPr>
          <w:rFonts w:ascii="Arial" w:hAnsi="Arial" w:cs="Arial"/>
        </w:rPr>
        <w:t>25.</w:t>
      </w:r>
      <w:r w:rsidR="00642F6F" w:rsidRPr="00C8149B">
        <w:rPr>
          <w:rFonts w:ascii="Arial" w:hAnsi="Arial" w:cs="Arial"/>
        </w:rPr>
        <w:t xml:space="preserve"> </w:t>
      </w:r>
      <w:r w:rsidRPr="00C8149B">
        <w:rPr>
          <w:rFonts w:ascii="Arial" w:hAnsi="Arial" w:cs="Arial"/>
        </w:rPr>
        <w:t xml:space="preserve"> The</w:t>
      </w:r>
      <w:r w:rsidR="00642F6F" w:rsidRPr="00C8149B">
        <w:rPr>
          <w:rFonts w:ascii="Arial" w:hAnsi="Arial" w:cs="Arial"/>
        </w:rPr>
        <w:t xml:space="preserve"> </w:t>
      </w:r>
      <w:r w:rsidRPr="00C8149B">
        <w:rPr>
          <w:rFonts w:ascii="Arial" w:hAnsi="Arial" w:cs="Arial"/>
        </w:rPr>
        <w:t>reconciliation is intended to be a relatively simple methodology for understanding</w:t>
      </w:r>
      <w:r w:rsidR="00642F6F" w:rsidRPr="00C8149B">
        <w:rPr>
          <w:rFonts w:ascii="Arial" w:hAnsi="Arial" w:cs="Arial"/>
        </w:rPr>
        <w:t xml:space="preserve"> </w:t>
      </w:r>
      <w:r w:rsidRPr="00C8149B">
        <w:rPr>
          <w:rFonts w:ascii="Arial" w:hAnsi="Arial" w:cs="Arial"/>
        </w:rPr>
        <w:t>the budgeted amount of cash and investments available with any planned or</w:t>
      </w:r>
      <w:r w:rsidR="00642F6F" w:rsidRPr="00C8149B">
        <w:rPr>
          <w:rFonts w:ascii="Arial" w:hAnsi="Arial" w:cs="Arial"/>
        </w:rPr>
        <w:t xml:space="preserve"> </w:t>
      </w:r>
      <w:r w:rsidRPr="00C8149B">
        <w:rPr>
          <w:rFonts w:ascii="Arial" w:hAnsi="Arial" w:cs="Arial"/>
        </w:rPr>
        <w:t>req</w:t>
      </w:r>
      <w:r w:rsidR="00642F6F" w:rsidRPr="00C8149B">
        <w:rPr>
          <w:rFonts w:ascii="Arial" w:hAnsi="Arial" w:cs="Arial"/>
        </w:rPr>
        <w:t>uired applications to be made.</w:t>
      </w:r>
      <w:r w:rsidR="0003199A" w:rsidRPr="00C8149B">
        <w:rPr>
          <w:rFonts w:ascii="Arial" w:hAnsi="Arial" w:cs="Arial"/>
        </w:rPr>
        <w:t xml:space="preserve"> </w:t>
      </w:r>
      <w:r w:rsidR="002559FB">
        <w:rPr>
          <w:rFonts w:ascii="Arial" w:hAnsi="Arial" w:cs="Arial"/>
        </w:rPr>
        <w:t xml:space="preserve"> </w:t>
      </w:r>
      <w:r w:rsidR="0003199A" w:rsidRPr="00C8149B">
        <w:rPr>
          <w:rFonts w:ascii="Arial" w:hAnsi="Arial" w:cs="Arial"/>
        </w:rPr>
        <w:t xml:space="preserve">This has been extensively discussed </w:t>
      </w:r>
      <w:r w:rsidR="00934C79">
        <w:rPr>
          <w:rFonts w:ascii="Arial" w:hAnsi="Arial" w:cs="Arial"/>
        </w:rPr>
        <w:t>above.</w:t>
      </w:r>
    </w:p>
    <w:p w:rsidR="0003199A" w:rsidRDefault="0003199A" w:rsidP="001275DB">
      <w:pPr>
        <w:autoSpaceDE w:val="0"/>
        <w:autoSpaceDN w:val="0"/>
        <w:adjustRightInd w:val="0"/>
        <w:spacing w:after="0" w:line="240" w:lineRule="auto"/>
        <w:jc w:val="both"/>
        <w:rPr>
          <w:rFonts w:ascii="Arial" w:hAnsi="Arial" w:cs="Arial"/>
        </w:rPr>
      </w:pPr>
    </w:p>
    <w:p w:rsidR="006413A9" w:rsidRDefault="006413A9" w:rsidP="001275DB">
      <w:pPr>
        <w:autoSpaceDE w:val="0"/>
        <w:autoSpaceDN w:val="0"/>
        <w:adjustRightInd w:val="0"/>
        <w:spacing w:after="0" w:line="240" w:lineRule="auto"/>
        <w:jc w:val="both"/>
        <w:rPr>
          <w:rFonts w:ascii="Arial" w:hAnsi="Arial" w:cs="Arial"/>
        </w:rPr>
      </w:pPr>
    </w:p>
    <w:p w:rsidR="006413A9" w:rsidRPr="00C8149B" w:rsidRDefault="006413A9" w:rsidP="001275DB">
      <w:pPr>
        <w:autoSpaceDE w:val="0"/>
        <w:autoSpaceDN w:val="0"/>
        <w:adjustRightInd w:val="0"/>
        <w:spacing w:after="0" w:line="240" w:lineRule="auto"/>
        <w:jc w:val="both"/>
        <w:rPr>
          <w:rFonts w:ascii="Arial" w:hAnsi="Arial" w:cs="Arial"/>
        </w:rPr>
      </w:pPr>
    </w:p>
    <w:p w:rsidR="00881427" w:rsidRPr="00C8149B" w:rsidRDefault="00881427" w:rsidP="001275DB">
      <w:pPr>
        <w:autoSpaceDE w:val="0"/>
        <w:autoSpaceDN w:val="0"/>
        <w:adjustRightInd w:val="0"/>
        <w:spacing w:after="0" w:line="240" w:lineRule="auto"/>
        <w:jc w:val="both"/>
        <w:rPr>
          <w:rFonts w:ascii="Arial" w:hAnsi="Arial" w:cs="Arial"/>
        </w:rPr>
      </w:pPr>
    </w:p>
    <w:p w:rsidR="00954110" w:rsidRPr="00C8149B" w:rsidRDefault="00954110" w:rsidP="001275DB">
      <w:pPr>
        <w:autoSpaceDE w:val="0"/>
        <w:autoSpaceDN w:val="0"/>
        <w:adjustRightInd w:val="0"/>
        <w:spacing w:after="0" w:line="240" w:lineRule="auto"/>
        <w:jc w:val="both"/>
        <w:rPr>
          <w:rFonts w:ascii="Arial" w:hAnsi="Arial" w:cs="Arial"/>
        </w:rPr>
      </w:pPr>
    </w:p>
    <w:p w:rsidR="009D4C59" w:rsidRPr="00C8149B" w:rsidRDefault="009D4C59" w:rsidP="001275DB">
      <w:pPr>
        <w:autoSpaceDE w:val="0"/>
        <w:autoSpaceDN w:val="0"/>
        <w:adjustRightInd w:val="0"/>
        <w:spacing w:after="0" w:line="240" w:lineRule="auto"/>
        <w:jc w:val="both"/>
        <w:rPr>
          <w:rFonts w:ascii="Arial" w:hAnsi="Arial" w:cs="Arial"/>
          <w:b/>
          <w:bCs/>
          <w:i/>
        </w:rPr>
      </w:pPr>
    </w:p>
    <w:p w:rsidR="009D4C59" w:rsidRPr="006049C1" w:rsidRDefault="009D4C59" w:rsidP="001275DB">
      <w:pPr>
        <w:pStyle w:val="Heading4"/>
        <w:rPr>
          <w:rFonts w:ascii="Arial" w:hAnsi="Arial" w:cs="Arial"/>
          <w:b w:val="0"/>
          <w:bCs w:val="0"/>
          <w:color w:val="auto"/>
        </w:rPr>
      </w:pPr>
      <w:bookmarkStart w:id="174" w:name="_Toc286034142"/>
      <w:bookmarkStart w:id="175" w:name="_Toc286034733"/>
      <w:r w:rsidRPr="006049C1">
        <w:rPr>
          <w:rFonts w:ascii="Arial" w:hAnsi="Arial" w:cs="Arial"/>
          <w:b w:val="0"/>
          <w:bCs w:val="0"/>
          <w:color w:val="auto"/>
        </w:rPr>
        <w:t xml:space="preserve">Cash receipts </w:t>
      </w:r>
      <w:r w:rsidR="00963B9A" w:rsidRPr="006049C1">
        <w:rPr>
          <w:rFonts w:ascii="Arial" w:hAnsi="Arial" w:cs="Arial"/>
          <w:b w:val="0"/>
          <w:bCs w:val="0"/>
          <w:color w:val="auto"/>
        </w:rPr>
        <w:t xml:space="preserve">as a percentage </w:t>
      </w:r>
      <w:r w:rsidRPr="006049C1">
        <w:rPr>
          <w:rFonts w:ascii="Arial" w:hAnsi="Arial" w:cs="Arial"/>
          <w:b w:val="0"/>
          <w:bCs w:val="0"/>
          <w:color w:val="auto"/>
        </w:rPr>
        <w:t>of ratepayer and other revenue</w:t>
      </w:r>
      <w:bookmarkEnd w:id="174"/>
      <w:bookmarkEnd w:id="175"/>
    </w:p>
    <w:p w:rsidR="00954110" w:rsidRPr="00244316" w:rsidRDefault="009D4C59" w:rsidP="00244316">
      <w:pPr>
        <w:autoSpaceDE w:val="0"/>
        <w:autoSpaceDN w:val="0"/>
        <w:adjustRightInd w:val="0"/>
        <w:spacing w:after="0" w:line="240" w:lineRule="auto"/>
        <w:jc w:val="both"/>
        <w:rPr>
          <w:rFonts w:ascii="Arial" w:hAnsi="Arial" w:cs="Arial"/>
        </w:rPr>
      </w:pPr>
      <w:r w:rsidRPr="00C8149B">
        <w:rPr>
          <w:rFonts w:ascii="Arial" w:hAnsi="Arial" w:cs="Arial"/>
        </w:rPr>
        <w:t>This factor is a macro measure of the rate at which funds are ‘collected’.</w:t>
      </w:r>
      <w:r w:rsidR="002559FB">
        <w:rPr>
          <w:rFonts w:ascii="Arial" w:hAnsi="Arial" w:cs="Arial"/>
        </w:rPr>
        <w:t xml:space="preserve"> </w:t>
      </w:r>
      <w:r w:rsidRPr="00C8149B">
        <w:rPr>
          <w:rFonts w:ascii="Arial" w:hAnsi="Arial" w:cs="Arial"/>
        </w:rPr>
        <w:t xml:space="preserve"> This measure is intended to </w:t>
      </w:r>
      <w:proofErr w:type="spellStart"/>
      <w:r w:rsidRPr="00C8149B">
        <w:rPr>
          <w:rFonts w:ascii="Arial" w:hAnsi="Arial" w:cs="Arial"/>
        </w:rPr>
        <w:t>analyse</w:t>
      </w:r>
      <w:proofErr w:type="spellEnd"/>
      <w:r w:rsidRPr="00C8149B">
        <w:rPr>
          <w:rFonts w:ascii="Arial" w:hAnsi="Arial" w:cs="Arial"/>
        </w:rPr>
        <w:t xml:space="preserve"> the underlying assumed collection rate for the MTREF to determine the relevance and credibility of the budget assumptions contained in the </w:t>
      </w:r>
      <w:r w:rsidR="006049C1">
        <w:rPr>
          <w:rFonts w:ascii="Arial" w:hAnsi="Arial" w:cs="Arial"/>
        </w:rPr>
        <w:t>budget</w:t>
      </w:r>
      <w:r w:rsidR="00070461" w:rsidRPr="00C8149B">
        <w:rPr>
          <w:rFonts w:ascii="Arial" w:hAnsi="Arial" w:cs="Arial"/>
        </w:rPr>
        <w:t>.</w:t>
      </w:r>
      <w:r w:rsidR="002559FB">
        <w:rPr>
          <w:rFonts w:ascii="Arial" w:hAnsi="Arial" w:cs="Arial"/>
        </w:rPr>
        <w:t xml:space="preserve"> </w:t>
      </w:r>
      <w:r w:rsidR="00070461" w:rsidRPr="00C8149B">
        <w:rPr>
          <w:rFonts w:ascii="Arial" w:hAnsi="Arial" w:cs="Arial"/>
        </w:rPr>
        <w:t xml:space="preserve"> It can be seen that t</w:t>
      </w:r>
      <w:r w:rsidR="00244316">
        <w:rPr>
          <w:rFonts w:ascii="Arial" w:hAnsi="Arial" w:cs="Arial"/>
        </w:rPr>
        <w:t>he outcome is at 79 per</w:t>
      </w:r>
      <w:r w:rsidR="00070461" w:rsidRPr="00C8149B">
        <w:rPr>
          <w:rFonts w:ascii="Arial" w:hAnsi="Arial" w:cs="Arial"/>
        </w:rPr>
        <w:t xml:space="preserve">cent for each of the respective financial years. </w:t>
      </w:r>
      <w:r w:rsidR="002559FB">
        <w:rPr>
          <w:rFonts w:ascii="Arial" w:hAnsi="Arial" w:cs="Arial"/>
        </w:rPr>
        <w:t xml:space="preserve"> </w:t>
      </w:r>
      <w:r w:rsidR="006049C1">
        <w:rPr>
          <w:rFonts w:ascii="Arial" w:hAnsi="Arial" w:cs="Arial"/>
        </w:rPr>
        <w:t xml:space="preserve">Given that the </w:t>
      </w:r>
      <w:r w:rsidR="00070461" w:rsidRPr="00C8149B">
        <w:rPr>
          <w:rFonts w:ascii="Arial" w:hAnsi="Arial" w:cs="Arial"/>
        </w:rPr>
        <w:t>assumed c</w:t>
      </w:r>
      <w:r w:rsidR="004454A3">
        <w:rPr>
          <w:rFonts w:ascii="Arial" w:hAnsi="Arial" w:cs="Arial"/>
        </w:rPr>
        <w:t xml:space="preserve">ollection rate was based on </w:t>
      </w:r>
      <w:proofErr w:type="gramStart"/>
      <w:r w:rsidR="004454A3">
        <w:rPr>
          <w:rFonts w:ascii="Arial" w:hAnsi="Arial" w:cs="Arial"/>
        </w:rPr>
        <w:t>a</w:t>
      </w:r>
      <w:proofErr w:type="gramEnd"/>
      <w:r w:rsidR="004454A3">
        <w:rPr>
          <w:rFonts w:ascii="Arial" w:hAnsi="Arial" w:cs="Arial"/>
        </w:rPr>
        <w:t xml:space="preserve"> 88</w:t>
      </w:r>
      <w:r w:rsidR="00070461" w:rsidRPr="00C8149B">
        <w:rPr>
          <w:rFonts w:ascii="Arial" w:hAnsi="Arial" w:cs="Arial"/>
        </w:rPr>
        <w:t xml:space="preserve"> per cent performance target, the cash flow statement has been conservatively determined. </w:t>
      </w:r>
      <w:r w:rsidR="002559FB">
        <w:rPr>
          <w:rFonts w:ascii="Arial" w:hAnsi="Arial" w:cs="Arial"/>
        </w:rPr>
        <w:t xml:space="preserve"> </w:t>
      </w:r>
      <w:r w:rsidR="00070461" w:rsidRPr="00C8149B">
        <w:rPr>
          <w:rFonts w:ascii="Arial" w:hAnsi="Arial" w:cs="Arial"/>
        </w:rPr>
        <w:t>In addition the risks associated with objections to the valuation roll need to be clarified and hence the conservative approach</w:t>
      </w:r>
      <w:r w:rsidR="006049C1">
        <w:rPr>
          <w:rFonts w:ascii="Arial" w:hAnsi="Arial" w:cs="Arial"/>
        </w:rPr>
        <w:t xml:space="preserve">, also taking into consideration the </w:t>
      </w:r>
      <w:r w:rsidR="00070461" w:rsidRPr="00C8149B">
        <w:rPr>
          <w:rFonts w:ascii="Arial" w:hAnsi="Arial" w:cs="Arial"/>
        </w:rPr>
        <w:t xml:space="preserve">cash flow challenges experienced in the current financial year. </w:t>
      </w:r>
      <w:r w:rsidR="002559FB">
        <w:rPr>
          <w:rFonts w:ascii="Arial" w:hAnsi="Arial" w:cs="Arial"/>
        </w:rPr>
        <w:t xml:space="preserve"> </w:t>
      </w:r>
      <w:r w:rsidR="00070461" w:rsidRPr="00C8149B">
        <w:rPr>
          <w:rFonts w:ascii="Arial" w:hAnsi="Arial" w:cs="Arial"/>
        </w:rPr>
        <w:t xml:space="preserve">This measure and performance objective will have to be meticulously managed. </w:t>
      </w:r>
      <w:r w:rsidR="002559FB">
        <w:rPr>
          <w:rFonts w:ascii="Arial" w:hAnsi="Arial" w:cs="Arial"/>
        </w:rPr>
        <w:t xml:space="preserve"> </w:t>
      </w:r>
      <w:r w:rsidR="00070461" w:rsidRPr="00C8149B">
        <w:rPr>
          <w:rFonts w:ascii="Arial" w:hAnsi="Arial" w:cs="Arial"/>
        </w:rPr>
        <w:t xml:space="preserve">Should performance with the mid-year review and adjustments be positive in relation to actual collections of billed revenue, the </w:t>
      </w:r>
      <w:r w:rsidR="006049C1">
        <w:rPr>
          <w:rFonts w:ascii="Arial" w:hAnsi="Arial" w:cs="Arial"/>
        </w:rPr>
        <w:t>a</w:t>
      </w:r>
      <w:r w:rsidR="00070461" w:rsidRPr="00C8149B">
        <w:rPr>
          <w:rFonts w:ascii="Arial" w:hAnsi="Arial" w:cs="Arial"/>
        </w:rPr>
        <w:t xml:space="preserve">djustments </w:t>
      </w:r>
      <w:r w:rsidR="006049C1">
        <w:rPr>
          <w:rFonts w:ascii="Arial" w:hAnsi="Arial" w:cs="Arial"/>
        </w:rPr>
        <w:t>b</w:t>
      </w:r>
      <w:r w:rsidR="00070461" w:rsidRPr="00C8149B">
        <w:rPr>
          <w:rFonts w:ascii="Arial" w:hAnsi="Arial" w:cs="Arial"/>
        </w:rPr>
        <w:t>udget</w:t>
      </w:r>
      <w:r w:rsidR="00244316">
        <w:rPr>
          <w:rFonts w:ascii="Arial" w:hAnsi="Arial" w:cs="Arial"/>
        </w:rPr>
        <w:t xml:space="preserve"> will be amended </w:t>
      </w:r>
      <w:proofErr w:type="gramStart"/>
      <w:r w:rsidR="00244316">
        <w:rPr>
          <w:rFonts w:ascii="Arial" w:hAnsi="Arial" w:cs="Arial"/>
        </w:rPr>
        <w:t>accordingly.</w:t>
      </w:r>
      <w:proofErr w:type="gramEnd"/>
      <w:r w:rsidR="00244316">
        <w:rPr>
          <w:rFonts w:ascii="Arial" w:hAnsi="Arial" w:cs="Arial"/>
        </w:rPr>
        <w:t xml:space="preserve">  </w:t>
      </w:r>
    </w:p>
    <w:p w:rsidR="00070461" w:rsidRPr="00C8149B" w:rsidRDefault="00070461" w:rsidP="001275DB">
      <w:pPr>
        <w:autoSpaceDE w:val="0"/>
        <w:autoSpaceDN w:val="0"/>
        <w:adjustRightInd w:val="0"/>
        <w:spacing w:after="0" w:line="240" w:lineRule="auto"/>
        <w:jc w:val="both"/>
        <w:rPr>
          <w:rFonts w:ascii="Arial" w:hAnsi="Arial" w:cs="Arial"/>
        </w:rPr>
      </w:pPr>
    </w:p>
    <w:p w:rsidR="00070461" w:rsidRPr="006049C1" w:rsidRDefault="00070461" w:rsidP="001275DB">
      <w:pPr>
        <w:pStyle w:val="Heading4"/>
        <w:rPr>
          <w:rFonts w:ascii="Arial" w:hAnsi="Arial" w:cs="Arial"/>
          <w:b w:val="0"/>
          <w:bCs w:val="0"/>
          <w:color w:val="auto"/>
        </w:rPr>
      </w:pPr>
      <w:bookmarkStart w:id="176" w:name="_Toc286034144"/>
      <w:bookmarkStart w:id="177" w:name="_Toc286034735"/>
      <w:r w:rsidRPr="006049C1">
        <w:rPr>
          <w:rFonts w:ascii="Arial" w:hAnsi="Arial" w:cs="Arial"/>
          <w:b w:val="0"/>
          <w:bCs w:val="0"/>
          <w:color w:val="auto"/>
        </w:rPr>
        <w:t xml:space="preserve">Capital payments </w:t>
      </w:r>
      <w:r w:rsidR="00963B9A" w:rsidRPr="006049C1">
        <w:rPr>
          <w:rFonts w:ascii="Arial" w:hAnsi="Arial" w:cs="Arial"/>
          <w:b w:val="0"/>
          <w:bCs w:val="0"/>
          <w:color w:val="auto"/>
        </w:rPr>
        <w:t xml:space="preserve">percentage </w:t>
      </w:r>
      <w:r w:rsidR="00285F40">
        <w:rPr>
          <w:rFonts w:ascii="Arial" w:hAnsi="Arial" w:cs="Arial"/>
          <w:b w:val="0"/>
          <w:bCs w:val="0"/>
          <w:color w:val="auto"/>
        </w:rPr>
        <w:t>o</w:t>
      </w:r>
      <w:r w:rsidRPr="006049C1">
        <w:rPr>
          <w:rFonts w:ascii="Arial" w:hAnsi="Arial" w:cs="Arial"/>
          <w:b w:val="0"/>
          <w:bCs w:val="0"/>
          <w:color w:val="auto"/>
        </w:rPr>
        <w:t>f capital expenditure</w:t>
      </w:r>
      <w:bookmarkEnd w:id="176"/>
      <w:bookmarkEnd w:id="177"/>
    </w:p>
    <w:p w:rsidR="00070461" w:rsidRPr="00C8149B"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w:t>
      </w:r>
      <w:r w:rsidR="00070461" w:rsidRPr="00C8149B">
        <w:rPr>
          <w:rFonts w:ascii="Arial" w:hAnsi="Arial" w:cs="Arial"/>
        </w:rPr>
        <w:t>he purpose of this measure is t</w:t>
      </w:r>
      <w:r w:rsidRPr="00C8149B">
        <w:rPr>
          <w:rFonts w:ascii="Arial" w:hAnsi="Arial" w:cs="Arial"/>
        </w:rPr>
        <w:t xml:space="preserve">o determine </w:t>
      </w:r>
      <w:r w:rsidR="00070461" w:rsidRPr="00C8149B">
        <w:rPr>
          <w:rFonts w:ascii="Arial" w:hAnsi="Arial" w:cs="Arial"/>
        </w:rPr>
        <w:t xml:space="preserve">whether the timing of payments </w:t>
      </w:r>
      <w:r w:rsidRPr="00C8149B">
        <w:rPr>
          <w:rFonts w:ascii="Arial" w:hAnsi="Arial" w:cs="Arial"/>
        </w:rPr>
        <w:t xml:space="preserve">has been </w:t>
      </w:r>
      <w:r w:rsidR="00070461" w:rsidRPr="00C8149B">
        <w:rPr>
          <w:rFonts w:ascii="Arial" w:hAnsi="Arial" w:cs="Arial"/>
        </w:rPr>
        <w:t>taken into</w:t>
      </w:r>
      <w:r w:rsidRPr="00C8149B">
        <w:rPr>
          <w:rFonts w:ascii="Arial" w:hAnsi="Arial" w:cs="Arial"/>
        </w:rPr>
        <w:t xml:space="preserve"> </w:t>
      </w:r>
      <w:r w:rsidR="00070461" w:rsidRPr="00C8149B">
        <w:rPr>
          <w:rFonts w:ascii="Arial" w:hAnsi="Arial" w:cs="Arial"/>
        </w:rPr>
        <w:t>consideration when forecasting the cash position.</w:t>
      </w:r>
      <w:r w:rsidRPr="00C8149B">
        <w:rPr>
          <w:rFonts w:ascii="Arial" w:hAnsi="Arial" w:cs="Arial"/>
        </w:rPr>
        <w:t xml:space="preserve"> It can be seen that a 2 per cent timing discount has been factored into the cash position forecasted over the entire financial year.</w:t>
      </w:r>
      <w:r w:rsidR="002559FB">
        <w:rPr>
          <w:rFonts w:ascii="Arial" w:hAnsi="Arial" w:cs="Arial"/>
        </w:rPr>
        <w:t xml:space="preserve"> </w:t>
      </w:r>
      <w:r w:rsidR="00285F40">
        <w:rPr>
          <w:rFonts w:ascii="Arial" w:hAnsi="Arial" w:cs="Arial"/>
        </w:rPr>
        <w:t xml:space="preserve"> The municipality aims to keep this as low as possible through strict compliance with the legislative requirement that debtors be paid within 30 days.</w:t>
      </w:r>
    </w:p>
    <w:p w:rsidR="00963B9A" w:rsidRPr="00C8149B" w:rsidRDefault="00963B9A" w:rsidP="001275DB">
      <w:pPr>
        <w:autoSpaceDE w:val="0"/>
        <w:autoSpaceDN w:val="0"/>
        <w:adjustRightInd w:val="0"/>
        <w:spacing w:after="0" w:line="240" w:lineRule="auto"/>
        <w:jc w:val="both"/>
        <w:rPr>
          <w:rFonts w:ascii="Arial" w:hAnsi="Arial" w:cs="Arial"/>
        </w:rPr>
      </w:pPr>
    </w:p>
    <w:p w:rsidR="00963B9A" w:rsidRDefault="00963B9A" w:rsidP="001275DB">
      <w:pPr>
        <w:pStyle w:val="Heading4"/>
        <w:rPr>
          <w:rFonts w:ascii="Arial" w:hAnsi="Arial" w:cs="Arial"/>
          <w:b w:val="0"/>
          <w:bCs w:val="0"/>
          <w:color w:val="auto"/>
        </w:rPr>
      </w:pPr>
      <w:bookmarkStart w:id="178" w:name="_Toc286034145"/>
      <w:bookmarkStart w:id="179" w:name="_Toc286034736"/>
      <w:r w:rsidRPr="006049C1">
        <w:rPr>
          <w:rFonts w:ascii="Arial" w:hAnsi="Arial" w:cs="Arial"/>
          <w:b w:val="0"/>
          <w:bCs w:val="0"/>
          <w:color w:val="auto"/>
        </w:rPr>
        <w:t>Borrowing as a percentage of capital expenditure (excluding transfers, grants and</w:t>
      </w:r>
      <w:r w:rsidR="00956A70" w:rsidRPr="006049C1">
        <w:rPr>
          <w:rFonts w:ascii="Arial" w:hAnsi="Arial" w:cs="Arial"/>
          <w:b w:val="0"/>
          <w:bCs w:val="0"/>
          <w:color w:val="auto"/>
        </w:rPr>
        <w:t xml:space="preserve"> </w:t>
      </w:r>
      <w:r w:rsidRPr="006049C1">
        <w:rPr>
          <w:rFonts w:ascii="Arial" w:hAnsi="Arial" w:cs="Arial"/>
          <w:b w:val="0"/>
          <w:bCs w:val="0"/>
          <w:color w:val="auto"/>
        </w:rPr>
        <w:t>contributions)</w:t>
      </w:r>
      <w:bookmarkEnd w:id="178"/>
      <w:bookmarkEnd w:id="179"/>
    </w:p>
    <w:p w:rsidR="006413A9" w:rsidRPr="006413A9" w:rsidRDefault="006413A9" w:rsidP="006413A9"/>
    <w:p w:rsidR="00963B9A" w:rsidRDefault="006413A9" w:rsidP="001275DB">
      <w:pPr>
        <w:autoSpaceDE w:val="0"/>
        <w:autoSpaceDN w:val="0"/>
        <w:adjustRightInd w:val="0"/>
        <w:spacing w:after="0" w:line="240" w:lineRule="auto"/>
        <w:jc w:val="both"/>
        <w:rPr>
          <w:rFonts w:ascii="Arial" w:hAnsi="Arial" w:cs="Arial"/>
        </w:rPr>
      </w:pPr>
      <w:r>
        <w:rPr>
          <w:rFonts w:ascii="Arial" w:hAnsi="Arial" w:cs="Arial"/>
        </w:rPr>
        <w:t xml:space="preserve">The municipality is not planning to obtain any borrowing to finance capital in </w:t>
      </w:r>
      <w:r w:rsidR="004454A3">
        <w:rPr>
          <w:rFonts w:ascii="Arial" w:hAnsi="Arial" w:cs="Arial"/>
        </w:rPr>
        <w:t>2019/20</w:t>
      </w:r>
      <w:r>
        <w:rPr>
          <w:rFonts w:ascii="Arial" w:hAnsi="Arial" w:cs="Arial"/>
        </w:rPr>
        <w:t>.</w:t>
      </w:r>
    </w:p>
    <w:p w:rsidR="006413A9" w:rsidRDefault="006413A9" w:rsidP="001275DB">
      <w:pPr>
        <w:autoSpaceDE w:val="0"/>
        <w:autoSpaceDN w:val="0"/>
        <w:adjustRightInd w:val="0"/>
        <w:spacing w:after="0" w:line="240" w:lineRule="auto"/>
        <w:jc w:val="both"/>
        <w:rPr>
          <w:rFonts w:ascii="Arial" w:hAnsi="Arial" w:cs="Arial"/>
        </w:rPr>
      </w:pPr>
    </w:p>
    <w:p w:rsidR="006A4BA0" w:rsidRPr="00C8149B" w:rsidRDefault="006A4BA0" w:rsidP="001275DB">
      <w:pPr>
        <w:autoSpaceDE w:val="0"/>
        <w:autoSpaceDN w:val="0"/>
        <w:adjustRightInd w:val="0"/>
        <w:spacing w:after="0" w:line="240" w:lineRule="auto"/>
        <w:jc w:val="both"/>
        <w:rPr>
          <w:rFonts w:ascii="Arial" w:hAnsi="Arial" w:cs="Arial"/>
        </w:rPr>
      </w:pPr>
    </w:p>
    <w:p w:rsidR="00963B9A" w:rsidRDefault="00963B9A" w:rsidP="001275DB">
      <w:pPr>
        <w:pStyle w:val="Heading4"/>
        <w:rPr>
          <w:rFonts w:ascii="Arial" w:hAnsi="Arial" w:cs="Arial"/>
          <w:b w:val="0"/>
          <w:bCs w:val="0"/>
          <w:color w:val="auto"/>
        </w:rPr>
      </w:pPr>
      <w:bookmarkStart w:id="180" w:name="_Toc286034146"/>
      <w:bookmarkStart w:id="181" w:name="_Toc286034737"/>
      <w:r w:rsidRPr="00285F40">
        <w:rPr>
          <w:rFonts w:ascii="Arial" w:hAnsi="Arial" w:cs="Arial"/>
          <w:b w:val="0"/>
          <w:bCs w:val="0"/>
          <w:color w:val="auto"/>
        </w:rPr>
        <w:t>Transfers/grants revenue as a percentage of Government transfers/grants available</w:t>
      </w:r>
      <w:bookmarkEnd w:id="180"/>
      <w:bookmarkEnd w:id="181"/>
    </w:p>
    <w:p w:rsidR="006413A9" w:rsidRPr="006413A9" w:rsidRDefault="006413A9" w:rsidP="006413A9"/>
    <w:p w:rsidR="00963B9A" w:rsidRPr="00C8149B"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this measurement is mainly to ensure that all available transfers from national and provincial government</w:t>
      </w:r>
      <w:r w:rsidR="00285F40">
        <w:rPr>
          <w:rFonts w:ascii="Arial" w:hAnsi="Arial" w:cs="Arial"/>
        </w:rPr>
        <w:t xml:space="preserve"> have been budgeted for</w:t>
      </w:r>
      <w:r w:rsidRPr="00C8149B">
        <w:rPr>
          <w:rFonts w:ascii="Arial" w:hAnsi="Arial" w:cs="Arial"/>
        </w:rPr>
        <w:t xml:space="preserve">. </w:t>
      </w:r>
      <w:r w:rsidR="002559FB">
        <w:rPr>
          <w:rFonts w:ascii="Arial" w:hAnsi="Arial" w:cs="Arial"/>
        </w:rPr>
        <w:t xml:space="preserve"> </w:t>
      </w:r>
      <w:r w:rsidRPr="00C8149B">
        <w:rPr>
          <w:rFonts w:ascii="Arial" w:hAnsi="Arial" w:cs="Arial"/>
        </w:rPr>
        <w:t>A percentage less than 100 per cent could indicate that not all grants as contained in the Division of Revenue Act (</w:t>
      </w:r>
      <w:proofErr w:type="spellStart"/>
      <w:r w:rsidRPr="00C8149B">
        <w:rPr>
          <w:rFonts w:ascii="Arial" w:hAnsi="Arial" w:cs="Arial"/>
        </w:rPr>
        <w:t>DoRA</w:t>
      </w:r>
      <w:proofErr w:type="spellEnd"/>
      <w:r w:rsidRPr="00C8149B">
        <w:rPr>
          <w:rFonts w:ascii="Arial" w:hAnsi="Arial" w:cs="Arial"/>
        </w:rPr>
        <w:t>) have been budgeted for.</w:t>
      </w:r>
      <w:r w:rsidR="002559FB">
        <w:rPr>
          <w:rFonts w:ascii="Arial" w:hAnsi="Arial" w:cs="Arial"/>
        </w:rPr>
        <w:t xml:space="preserve"> </w:t>
      </w:r>
      <w:r w:rsidR="00285F40">
        <w:rPr>
          <w:rFonts w:ascii="Arial" w:hAnsi="Arial" w:cs="Arial"/>
        </w:rPr>
        <w:t xml:space="preserve"> The City has budgeted for all transfers.</w:t>
      </w:r>
    </w:p>
    <w:p w:rsidR="00963B9A" w:rsidRPr="00C8149B" w:rsidRDefault="00963B9A" w:rsidP="001275DB">
      <w:pPr>
        <w:autoSpaceDE w:val="0"/>
        <w:autoSpaceDN w:val="0"/>
        <w:adjustRightInd w:val="0"/>
        <w:spacing w:after="0" w:line="240" w:lineRule="auto"/>
        <w:jc w:val="both"/>
        <w:rPr>
          <w:rFonts w:ascii="Arial" w:hAnsi="Arial" w:cs="Arial"/>
        </w:rPr>
      </w:pPr>
    </w:p>
    <w:p w:rsidR="00963B9A" w:rsidRPr="00285F40" w:rsidRDefault="00963B9A" w:rsidP="001275DB">
      <w:pPr>
        <w:pStyle w:val="Heading4"/>
        <w:rPr>
          <w:rFonts w:ascii="Arial" w:hAnsi="Arial" w:cs="Arial"/>
          <w:b w:val="0"/>
          <w:bCs w:val="0"/>
          <w:color w:val="auto"/>
        </w:rPr>
      </w:pPr>
      <w:bookmarkStart w:id="182" w:name="_Toc286034147"/>
      <w:bookmarkStart w:id="183" w:name="_Toc286034738"/>
      <w:r w:rsidRPr="00285F40">
        <w:rPr>
          <w:rFonts w:ascii="Arial" w:hAnsi="Arial" w:cs="Arial"/>
          <w:b w:val="0"/>
          <w:bCs w:val="0"/>
          <w:color w:val="auto"/>
        </w:rPr>
        <w:t>Consumer debtors change (Current and Non-current)</w:t>
      </w:r>
      <w:bookmarkEnd w:id="182"/>
      <w:bookmarkEnd w:id="183"/>
    </w:p>
    <w:p w:rsidR="00A839A0" w:rsidRPr="00C8149B" w:rsidRDefault="00963B9A" w:rsidP="001275DB">
      <w:pPr>
        <w:autoSpaceDE w:val="0"/>
        <w:autoSpaceDN w:val="0"/>
        <w:adjustRightInd w:val="0"/>
        <w:spacing w:after="0" w:line="240" w:lineRule="auto"/>
        <w:jc w:val="both"/>
        <w:rPr>
          <w:rFonts w:ascii="Arial" w:hAnsi="Arial" w:cs="Arial"/>
        </w:rPr>
      </w:pPr>
      <w:r w:rsidRPr="00C8149B">
        <w:rPr>
          <w:rFonts w:ascii="Arial" w:hAnsi="Arial" w:cs="Arial"/>
        </w:rPr>
        <w:t>The purpose of these</w:t>
      </w:r>
      <w:r w:rsidR="00A839A0" w:rsidRPr="00C8149B">
        <w:rPr>
          <w:rFonts w:ascii="Arial" w:hAnsi="Arial" w:cs="Arial"/>
        </w:rPr>
        <w:t xml:space="preserve"> </w:t>
      </w:r>
      <w:r w:rsidRPr="00C8149B">
        <w:rPr>
          <w:rFonts w:ascii="Arial" w:hAnsi="Arial" w:cs="Arial"/>
        </w:rPr>
        <w:t xml:space="preserve">measures </w:t>
      </w:r>
      <w:r w:rsidR="00A839A0" w:rsidRPr="00C8149B">
        <w:rPr>
          <w:rFonts w:ascii="Arial" w:hAnsi="Arial" w:cs="Arial"/>
        </w:rPr>
        <w:t xml:space="preserve">are </w:t>
      </w:r>
      <w:r w:rsidRPr="00C8149B">
        <w:rPr>
          <w:rFonts w:ascii="Arial" w:hAnsi="Arial" w:cs="Arial"/>
        </w:rPr>
        <w:t>to ascertain whether budgeted reductions in</w:t>
      </w:r>
      <w:r w:rsidR="00A839A0" w:rsidRPr="00C8149B">
        <w:rPr>
          <w:rFonts w:ascii="Arial" w:hAnsi="Arial" w:cs="Arial"/>
        </w:rPr>
        <w:t xml:space="preserve"> </w:t>
      </w:r>
      <w:r w:rsidRPr="00C8149B">
        <w:rPr>
          <w:rFonts w:ascii="Arial" w:hAnsi="Arial" w:cs="Arial"/>
        </w:rPr>
        <w:t>outstanding debtors are</w:t>
      </w:r>
      <w:r w:rsidR="00A839A0" w:rsidRPr="00C8149B">
        <w:rPr>
          <w:rFonts w:ascii="Arial" w:hAnsi="Arial" w:cs="Arial"/>
        </w:rPr>
        <w:t xml:space="preserve"> </w:t>
      </w:r>
      <w:r w:rsidRPr="00C8149B">
        <w:rPr>
          <w:rFonts w:ascii="Arial" w:hAnsi="Arial" w:cs="Arial"/>
        </w:rPr>
        <w:t>realistic.</w:t>
      </w:r>
      <w:r w:rsidR="002559FB">
        <w:rPr>
          <w:rFonts w:ascii="Arial" w:hAnsi="Arial" w:cs="Arial"/>
        </w:rPr>
        <w:t xml:space="preserve">  </w:t>
      </w:r>
      <w:r w:rsidRPr="00C8149B">
        <w:rPr>
          <w:rFonts w:ascii="Arial" w:hAnsi="Arial" w:cs="Arial"/>
        </w:rPr>
        <w:t>There are 2 measures shown for this factor; the change in current debtors</w:t>
      </w:r>
      <w:r w:rsidR="00A839A0" w:rsidRPr="00C8149B">
        <w:rPr>
          <w:rFonts w:ascii="Arial" w:hAnsi="Arial" w:cs="Arial"/>
        </w:rPr>
        <w:t xml:space="preserve"> </w:t>
      </w:r>
      <w:r w:rsidRPr="00C8149B">
        <w:rPr>
          <w:rFonts w:ascii="Arial" w:hAnsi="Arial" w:cs="Arial"/>
        </w:rPr>
        <w:t>and the change in long term receivables, both from the Budgeted Financial</w:t>
      </w:r>
      <w:r w:rsidR="00A839A0" w:rsidRPr="00C8149B">
        <w:rPr>
          <w:rFonts w:ascii="Arial" w:hAnsi="Arial" w:cs="Arial"/>
        </w:rPr>
        <w:t xml:space="preserve"> </w:t>
      </w:r>
      <w:r w:rsidRPr="00C8149B">
        <w:rPr>
          <w:rFonts w:ascii="Arial" w:hAnsi="Arial" w:cs="Arial"/>
        </w:rPr>
        <w:t>Position.</w:t>
      </w:r>
      <w:r w:rsidR="00285F40">
        <w:rPr>
          <w:rFonts w:ascii="Arial" w:hAnsi="Arial" w:cs="Arial"/>
        </w:rPr>
        <w:t xml:space="preserve"> </w:t>
      </w:r>
      <w:r w:rsidR="002559FB">
        <w:rPr>
          <w:rFonts w:ascii="Arial" w:hAnsi="Arial" w:cs="Arial"/>
        </w:rPr>
        <w:t xml:space="preserve"> </w:t>
      </w:r>
      <w:r w:rsidR="00285F40">
        <w:rPr>
          <w:rFonts w:ascii="Arial" w:hAnsi="Arial" w:cs="Arial"/>
        </w:rPr>
        <w:t>Both measures show a relatively stab</w:t>
      </w:r>
      <w:r w:rsidR="006413A9">
        <w:rPr>
          <w:rFonts w:ascii="Arial" w:hAnsi="Arial" w:cs="Arial"/>
        </w:rPr>
        <w:t>le trend in line with the municipality’s</w:t>
      </w:r>
      <w:r w:rsidR="00285F40">
        <w:rPr>
          <w:rFonts w:ascii="Arial" w:hAnsi="Arial" w:cs="Arial"/>
        </w:rPr>
        <w:t xml:space="preserve"> policy of settling </w:t>
      </w:r>
      <w:proofErr w:type="gramStart"/>
      <w:r w:rsidR="00285F40">
        <w:rPr>
          <w:rFonts w:ascii="Arial" w:hAnsi="Arial" w:cs="Arial"/>
        </w:rPr>
        <w:t>debtors</w:t>
      </w:r>
      <w:proofErr w:type="gramEnd"/>
      <w:r w:rsidR="00285F40">
        <w:rPr>
          <w:rFonts w:ascii="Arial" w:hAnsi="Arial" w:cs="Arial"/>
        </w:rPr>
        <w:t xml:space="preserve"> accounts within 30 days.</w:t>
      </w:r>
    </w:p>
    <w:p w:rsidR="00A839A0" w:rsidRPr="00C8149B" w:rsidRDefault="00A839A0" w:rsidP="001275DB">
      <w:pPr>
        <w:autoSpaceDE w:val="0"/>
        <w:autoSpaceDN w:val="0"/>
        <w:adjustRightInd w:val="0"/>
        <w:spacing w:after="0" w:line="240" w:lineRule="auto"/>
        <w:jc w:val="both"/>
        <w:rPr>
          <w:rFonts w:ascii="Arial" w:hAnsi="Arial" w:cs="Arial"/>
        </w:rPr>
      </w:pPr>
    </w:p>
    <w:p w:rsidR="00A839A0" w:rsidRPr="00285F40" w:rsidRDefault="00A839A0" w:rsidP="001275DB">
      <w:pPr>
        <w:pStyle w:val="Heading4"/>
        <w:rPr>
          <w:rFonts w:ascii="Arial" w:hAnsi="Arial" w:cs="Arial"/>
          <w:b w:val="0"/>
          <w:bCs w:val="0"/>
          <w:color w:val="auto"/>
        </w:rPr>
      </w:pPr>
      <w:bookmarkStart w:id="184" w:name="_Toc286034148"/>
      <w:bookmarkStart w:id="185" w:name="_Toc286034739"/>
      <w:r w:rsidRPr="00285F40">
        <w:rPr>
          <w:rFonts w:ascii="Arial" w:hAnsi="Arial" w:cs="Arial"/>
          <w:b w:val="0"/>
          <w:bCs w:val="0"/>
          <w:color w:val="auto"/>
        </w:rPr>
        <w:t xml:space="preserve">Repairs </w:t>
      </w:r>
      <w:r w:rsidR="00285F40" w:rsidRPr="00285F40">
        <w:rPr>
          <w:rFonts w:ascii="Arial" w:hAnsi="Arial" w:cs="Arial"/>
          <w:b w:val="0"/>
          <w:bCs w:val="0"/>
          <w:color w:val="auto"/>
        </w:rPr>
        <w:t xml:space="preserve">and </w:t>
      </w:r>
      <w:r w:rsidRPr="00285F40">
        <w:rPr>
          <w:rFonts w:ascii="Arial" w:hAnsi="Arial" w:cs="Arial"/>
          <w:b w:val="0"/>
          <w:bCs w:val="0"/>
          <w:color w:val="auto"/>
        </w:rPr>
        <w:t>maintenance expenditure level</w:t>
      </w:r>
      <w:bookmarkEnd w:id="184"/>
      <w:bookmarkEnd w:id="185"/>
    </w:p>
    <w:p w:rsidR="00A839A0" w:rsidRPr="00C8149B" w:rsidRDefault="006A4BA0" w:rsidP="001275DB">
      <w:pPr>
        <w:autoSpaceDE w:val="0"/>
        <w:autoSpaceDN w:val="0"/>
        <w:adjustRightInd w:val="0"/>
        <w:spacing w:after="0" w:line="240" w:lineRule="auto"/>
        <w:jc w:val="both"/>
        <w:rPr>
          <w:rFonts w:ascii="Arial" w:hAnsi="Arial" w:cs="Arial"/>
        </w:rPr>
      </w:pPr>
      <w:r>
        <w:rPr>
          <w:rFonts w:ascii="Arial" w:hAnsi="Arial" w:cs="Arial"/>
        </w:rPr>
        <w:t>In terms of National Treasury’s requirements, the renewal expenditure must be 40% and repairs and maintenance expenditure must be at least 8%. Due to cash flow problems, the municipality cannot afford to meet the standard required by National Treasury at the moment.</w:t>
      </w:r>
    </w:p>
    <w:p w:rsidR="00A839A0" w:rsidRPr="00285F40" w:rsidRDefault="00A839A0" w:rsidP="001275DB">
      <w:pPr>
        <w:pStyle w:val="Heading4"/>
        <w:rPr>
          <w:rFonts w:ascii="Arial" w:hAnsi="Arial" w:cs="Arial"/>
          <w:b w:val="0"/>
          <w:bCs w:val="0"/>
          <w:color w:val="auto"/>
        </w:rPr>
      </w:pPr>
      <w:bookmarkStart w:id="186" w:name="_Toc286034149"/>
      <w:bookmarkStart w:id="187" w:name="_Toc286034740"/>
      <w:r w:rsidRPr="00285F40">
        <w:rPr>
          <w:rFonts w:ascii="Arial" w:hAnsi="Arial" w:cs="Arial"/>
          <w:b w:val="0"/>
          <w:bCs w:val="0"/>
          <w:color w:val="auto"/>
        </w:rPr>
        <w:t>Asset renewal/rehabilitation expenditure level</w:t>
      </w:r>
      <w:bookmarkEnd w:id="186"/>
      <w:bookmarkEnd w:id="187"/>
    </w:p>
    <w:p w:rsidR="00A839A0" w:rsidRPr="00C8149B" w:rsidRDefault="00A839A0" w:rsidP="001275DB">
      <w:pPr>
        <w:autoSpaceDE w:val="0"/>
        <w:autoSpaceDN w:val="0"/>
        <w:adjustRightInd w:val="0"/>
        <w:spacing w:after="0" w:line="240" w:lineRule="auto"/>
        <w:jc w:val="both"/>
        <w:rPr>
          <w:rFonts w:ascii="Arial" w:hAnsi="Arial" w:cs="Arial"/>
        </w:rPr>
      </w:pPr>
      <w:r w:rsidRPr="00C8149B">
        <w:rPr>
          <w:rFonts w:ascii="Arial" w:hAnsi="Arial" w:cs="Arial"/>
          <w:sz w:val="23"/>
          <w:szCs w:val="23"/>
        </w:rPr>
        <w:t xml:space="preserve">This measure has a similar objective to aforementioned objective relating to repairs and maintenance. </w:t>
      </w:r>
      <w:r w:rsidR="006353A2">
        <w:rPr>
          <w:rFonts w:ascii="Arial" w:hAnsi="Arial" w:cs="Arial"/>
          <w:sz w:val="23"/>
          <w:szCs w:val="23"/>
        </w:rPr>
        <w:t xml:space="preserve"> </w:t>
      </w:r>
      <w:r w:rsidRPr="00C8149B">
        <w:rPr>
          <w:rFonts w:ascii="Arial" w:hAnsi="Arial" w:cs="Arial"/>
          <w:sz w:val="23"/>
          <w:szCs w:val="23"/>
        </w:rPr>
        <w:t xml:space="preserve">A requirement of the detailed capital budget (since MFMA Circular 28 </w:t>
      </w:r>
      <w:r w:rsidR="00285F40">
        <w:rPr>
          <w:rFonts w:ascii="Arial" w:hAnsi="Arial" w:cs="Arial"/>
          <w:sz w:val="23"/>
          <w:szCs w:val="23"/>
        </w:rPr>
        <w:t xml:space="preserve">which </w:t>
      </w:r>
      <w:r w:rsidRPr="00C8149B">
        <w:rPr>
          <w:rFonts w:ascii="Arial" w:hAnsi="Arial" w:cs="Arial"/>
          <w:sz w:val="23"/>
          <w:szCs w:val="23"/>
        </w:rPr>
        <w:t xml:space="preserve">was issued in December 2005) is to </w:t>
      </w:r>
      <w:proofErr w:type="spellStart"/>
      <w:r w:rsidRPr="00C8149B">
        <w:rPr>
          <w:rFonts w:ascii="Arial" w:hAnsi="Arial" w:cs="Arial"/>
          <w:sz w:val="23"/>
          <w:szCs w:val="23"/>
        </w:rPr>
        <w:t>categorise</w:t>
      </w:r>
      <w:proofErr w:type="spellEnd"/>
      <w:r w:rsidRPr="00C8149B">
        <w:rPr>
          <w:rFonts w:ascii="Arial" w:hAnsi="Arial" w:cs="Arial"/>
          <w:sz w:val="23"/>
          <w:szCs w:val="23"/>
        </w:rPr>
        <w:t xml:space="preserve"> each capital project as a new asset or a renewal/rehabilitation project. </w:t>
      </w:r>
      <w:r w:rsidR="006353A2">
        <w:rPr>
          <w:rFonts w:ascii="Arial" w:hAnsi="Arial" w:cs="Arial"/>
          <w:sz w:val="23"/>
          <w:szCs w:val="23"/>
        </w:rPr>
        <w:t xml:space="preserve"> </w:t>
      </w:r>
      <w:r w:rsidRPr="00C8149B">
        <w:rPr>
          <w:rFonts w:ascii="Arial" w:hAnsi="Arial" w:cs="Arial"/>
          <w:sz w:val="23"/>
          <w:szCs w:val="23"/>
        </w:rPr>
        <w:t xml:space="preserve">The objective is to </w:t>
      </w:r>
      <w:proofErr w:type="spellStart"/>
      <w:r w:rsidRPr="00C8149B">
        <w:rPr>
          <w:rFonts w:ascii="Arial" w:hAnsi="Arial" w:cs="Arial"/>
          <w:sz w:val="23"/>
          <w:szCs w:val="23"/>
        </w:rPr>
        <w:t>summarise</w:t>
      </w:r>
      <w:proofErr w:type="spellEnd"/>
      <w:r w:rsidRPr="00C8149B">
        <w:rPr>
          <w:rFonts w:ascii="Arial" w:hAnsi="Arial" w:cs="Arial"/>
          <w:sz w:val="23"/>
          <w:szCs w:val="23"/>
        </w:rPr>
        <w:t xml:space="preserve"> and understand the proportion of budgets being provided for new assets and also asset sustainability. </w:t>
      </w:r>
      <w:r w:rsidR="006353A2">
        <w:rPr>
          <w:rFonts w:ascii="Arial" w:hAnsi="Arial" w:cs="Arial"/>
          <w:sz w:val="23"/>
          <w:szCs w:val="23"/>
        </w:rPr>
        <w:t xml:space="preserve"> </w:t>
      </w:r>
      <w:r w:rsidRPr="00C8149B">
        <w:rPr>
          <w:rFonts w:ascii="Arial" w:hAnsi="Arial" w:cs="Arial"/>
          <w:sz w:val="23"/>
          <w:szCs w:val="23"/>
        </w:rPr>
        <w:t xml:space="preserve">A declining or low level of renewal funding may indicate that a budget is not credible and/or sustainable and future revenue is not being protected, similar to the justification for ‘repairs and maintenance’ budgets. </w:t>
      </w:r>
      <w:r w:rsidR="006353A2">
        <w:rPr>
          <w:rFonts w:ascii="Arial" w:hAnsi="Arial" w:cs="Arial"/>
          <w:sz w:val="23"/>
          <w:szCs w:val="23"/>
        </w:rPr>
        <w:t xml:space="preserve"> </w:t>
      </w:r>
      <w:r w:rsidRPr="00C8149B">
        <w:rPr>
          <w:rFonts w:ascii="Arial" w:hAnsi="Arial" w:cs="Arial"/>
          <w:sz w:val="23"/>
          <w:szCs w:val="23"/>
        </w:rPr>
        <w:t>Further details in this regard are contained in</w:t>
      </w:r>
      <w:r w:rsidR="006413A9">
        <w:rPr>
          <w:rFonts w:ascii="Arial" w:hAnsi="Arial" w:cs="Arial"/>
          <w:sz w:val="23"/>
          <w:szCs w:val="23"/>
        </w:rPr>
        <w:t xml:space="preserve"> Table 59 MBRR SA34b.</w:t>
      </w:r>
    </w:p>
    <w:p w:rsidR="00EE7C40" w:rsidRDefault="00EE7C40" w:rsidP="001275DB">
      <w:pPr>
        <w:spacing w:after="0" w:line="240" w:lineRule="auto"/>
        <w:jc w:val="both"/>
        <w:rPr>
          <w:rFonts w:ascii="Arial" w:hAnsi="Arial" w:cs="Arial"/>
        </w:rPr>
      </w:pPr>
    </w:p>
    <w:p w:rsidR="00CB594D" w:rsidRDefault="00CB594D" w:rsidP="004C0EB0">
      <w:pPr>
        <w:pStyle w:val="Heading2"/>
        <w:spacing w:before="0" w:line="240" w:lineRule="auto"/>
        <w:ind w:left="720" w:hanging="720"/>
        <w:rPr>
          <w:rFonts w:ascii="Arial" w:hAnsi="Arial" w:cs="Arial"/>
          <w:color w:val="auto"/>
        </w:rPr>
      </w:pPr>
      <w:bookmarkStart w:id="188" w:name="_Toc286034150"/>
      <w:bookmarkStart w:id="189" w:name="_Toc286034741"/>
      <w:bookmarkStart w:id="190" w:name="_Toc286041445"/>
      <w:bookmarkStart w:id="191" w:name="_Toc286041514"/>
      <w:bookmarkStart w:id="192" w:name="_Toc286117325"/>
      <w:bookmarkStart w:id="193" w:name="_Toc287342536"/>
      <w:r w:rsidRPr="00397C37">
        <w:rPr>
          <w:rFonts w:ascii="Arial" w:hAnsi="Arial" w:cs="Arial"/>
          <w:color w:val="auto"/>
        </w:rPr>
        <w:t xml:space="preserve">Expenditure </w:t>
      </w:r>
      <w:r w:rsidR="004C0EB0">
        <w:rPr>
          <w:rFonts w:ascii="Arial" w:hAnsi="Arial" w:cs="Arial"/>
          <w:color w:val="auto"/>
        </w:rPr>
        <w:t xml:space="preserve">on </w:t>
      </w:r>
      <w:r w:rsidRPr="00397C37">
        <w:rPr>
          <w:rFonts w:ascii="Arial" w:hAnsi="Arial" w:cs="Arial"/>
          <w:color w:val="auto"/>
        </w:rPr>
        <w:t>grant</w:t>
      </w:r>
      <w:r w:rsidR="004C0EB0">
        <w:rPr>
          <w:rFonts w:ascii="Arial" w:hAnsi="Arial" w:cs="Arial"/>
          <w:color w:val="auto"/>
        </w:rPr>
        <w:t>s</w:t>
      </w:r>
      <w:r w:rsidRPr="00397C37">
        <w:rPr>
          <w:rFonts w:ascii="Arial" w:hAnsi="Arial" w:cs="Arial"/>
          <w:color w:val="auto"/>
        </w:rPr>
        <w:t xml:space="preserve"> </w:t>
      </w:r>
      <w:r w:rsidR="0067457F">
        <w:rPr>
          <w:rFonts w:ascii="Arial" w:hAnsi="Arial" w:cs="Arial"/>
          <w:color w:val="auto"/>
        </w:rPr>
        <w:t>and reconciliations of unspent funds</w:t>
      </w:r>
      <w:bookmarkEnd w:id="188"/>
      <w:bookmarkEnd w:id="189"/>
      <w:bookmarkEnd w:id="190"/>
      <w:bookmarkEnd w:id="191"/>
      <w:bookmarkEnd w:id="192"/>
      <w:bookmarkEnd w:id="193"/>
    </w:p>
    <w:p w:rsidR="004C0EB0" w:rsidRDefault="004C0EB0" w:rsidP="004C0EB0">
      <w:pPr>
        <w:keepNext/>
        <w:rPr>
          <w:rFonts w:ascii="Arial" w:hAnsi="Arial" w:cs="Arial"/>
          <w:i/>
          <w:sz w:val="20"/>
          <w:szCs w:val="20"/>
        </w:rPr>
      </w:pPr>
    </w:p>
    <w:p w:rsidR="004C0EB0" w:rsidRPr="004C0EB0" w:rsidRDefault="004C0EB0" w:rsidP="004C0EB0">
      <w:pPr>
        <w:pStyle w:val="Caption"/>
        <w:keepNext/>
      </w:pPr>
      <w:bookmarkStart w:id="194" w:name="_Toc287342486"/>
      <w:r>
        <w:t xml:space="preserve">Table </w:t>
      </w:r>
      <w:r w:rsidR="00951EB5">
        <w:fldChar w:fldCharType="begin"/>
      </w:r>
      <w:r w:rsidR="009F6B4A">
        <w:instrText xml:space="preserve"> SEQ Table \* ARABIC </w:instrText>
      </w:r>
      <w:r w:rsidR="00951EB5">
        <w:fldChar w:fldCharType="separate"/>
      </w:r>
      <w:r w:rsidR="00FB5E13">
        <w:rPr>
          <w:noProof/>
        </w:rPr>
        <w:t>28</w:t>
      </w:r>
      <w:r w:rsidR="00951EB5">
        <w:rPr>
          <w:noProof/>
        </w:rPr>
        <w:fldChar w:fldCharType="end"/>
      </w:r>
      <w:r w:rsidR="00B606A0">
        <w:rPr>
          <w:noProof/>
        </w:rPr>
        <w:t xml:space="preserve"> MBRR SA19</w:t>
      </w:r>
      <w:r w:rsidR="00B374C8">
        <w:rPr>
          <w:noProof/>
        </w:rPr>
        <w:t xml:space="preserve"> - </w:t>
      </w:r>
      <w:r w:rsidRPr="004C0EB0">
        <w:t xml:space="preserve">Expenditure on transfers and grant </w:t>
      </w:r>
      <w:proofErr w:type="spellStart"/>
      <w:r w:rsidRPr="004C0EB0">
        <w:t>programmes</w:t>
      </w:r>
      <w:bookmarkEnd w:id="194"/>
      <w:proofErr w:type="spellEnd"/>
    </w:p>
    <w:p w:rsidR="0067457F" w:rsidRDefault="00A10411" w:rsidP="00036626">
      <w:pPr>
        <w:spacing w:after="0" w:line="240" w:lineRule="auto"/>
        <w:jc w:val="both"/>
        <w:rPr>
          <w:rFonts w:ascii="Arial" w:eastAsiaTheme="majorEastAsia" w:hAnsi="Arial" w:cs="Arial"/>
          <w:b/>
          <w:bCs/>
          <w:sz w:val="26"/>
          <w:szCs w:val="26"/>
        </w:rPr>
      </w:pPr>
      <w:r w:rsidRPr="00A10411">
        <w:rPr>
          <w:noProof/>
          <w:lang w:val="en-ZA" w:eastAsia="en-ZA"/>
        </w:rPr>
        <w:drawing>
          <wp:inline distT="0" distB="0" distL="0" distR="0">
            <wp:extent cx="5486400" cy="4540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4540250"/>
                    </a:xfrm>
                    <a:prstGeom prst="rect">
                      <a:avLst/>
                    </a:prstGeom>
                    <a:noFill/>
                    <a:ln>
                      <a:noFill/>
                    </a:ln>
                  </pic:spPr>
                </pic:pic>
              </a:graphicData>
            </a:graphic>
          </wp:inline>
        </w:drawing>
      </w:r>
    </w:p>
    <w:p w:rsidR="004C0EB0" w:rsidRDefault="004C0EB0" w:rsidP="00036626">
      <w:pPr>
        <w:spacing w:after="0" w:line="240" w:lineRule="auto"/>
        <w:jc w:val="both"/>
        <w:rPr>
          <w:rFonts w:ascii="Arial" w:eastAsiaTheme="majorEastAsia" w:hAnsi="Arial" w:cs="Arial"/>
          <w:b/>
          <w:bCs/>
          <w:sz w:val="26"/>
          <w:szCs w:val="26"/>
        </w:rPr>
      </w:pPr>
    </w:p>
    <w:p w:rsidR="004C0EB0" w:rsidRPr="004C0EB0" w:rsidRDefault="004C0EB0" w:rsidP="004C0EB0">
      <w:pPr>
        <w:pStyle w:val="Caption"/>
        <w:keepNext/>
      </w:pPr>
      <w:bookmarkStart w:id="195" w:name="_Toc287342487"/>
      <w:r>
        <w:t xml:space="preserve">Table </w:t>
      </w:r>
      <w:r w:rsidR="00951EB5">
        <w:fldChar w:fldCharType="begin"/>
      </w:r>
      <w:r w:rsidR="009F6B4A">
        <w:instrText xml:space="preserve"> SEQ Table \* ARABIC </w:instrText>
      </w:r>
      <w:r w:rsidR="00951EB5">
        <w:fldChar w:fldCharType="separate"/>
      </w:r>
      <w:r w:rsidR="00FB5E13">
        <w:rPr>
          <w:noProof/>
        </w:rPr>
        <w:t>29</w:t>
      </w:r>
      <w:r w:rsidR="00951EB5">
        <w:rPr>
          <w:noProof/>
        </w:rPr>
        <w:fldChar w:fldCharType="end"/>
      </w:r>
      <w:r>
        <w:t xml:space="preserve"> </w:t>
      </w:r>
      <w:r w:rsidRPr="004C0EB0">
        <w:t xml:space="preserve"> </w:t>
      </w:r>
      <w:r w:rsidR="00B606A0">
        <w:t>MBRR SA 20</w:t>
      </w:r>
      <w:r w:rsidR="00B374C8">
        <w:t xml:space="preserve"> - </w:t>
      </w:r>
      <w:r w:rsidRPr="004C0EB0">
        <w:t>Reconciliation between of transfers, grant receipts and unspent funds</w:t>
      </w:r>
      <w:bookmarkEnd w:id="195"/>
    </w:p>
    <w:p w:rsidR="0067457F" w:rsidRPr="0067457F" w:rsidRDefault="00A10411" w:rsidP="00D744FF">
      <w:pPr>
        <w:spacing w:after="0" w:line="240" w:lineRule="auto"/>
        <w:rPr>
          <w:rFonts w:ascii="Arial" w:eastAsiaTheme="majorEastAsia" w:hAnsi="Arial" w:cs="Arial"/>
          <w:sz w:val="26"/>
          <w:szCs w:val="26"/>
        </w:rPr>
      </w:pPr>
      <w:r w:rsidRPr="00A10411">
        <w:rPr>
          <w:noProof/>
          <w:lang w:val="en-ZA" w:eastAsia="en-ZA"/>
        </w:rPr>
        <w:drawing>
          <wp:inline distT="0" distB="0" distL="0" distR="0">
            <wp:extent cx="5669280" cy="594741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0923" cy="5949134"/>
                    </a:xfrm>
                    <a:prstGeom prst="rect">
                      <a:avLst/>
                    </a:prstGeom>
                    <a:noFill/>
                    <a:ln>
                      <a:noFill/>
                    </a:ln>
                  </pic:spPr>
                </pic:pic>
              </a:graphicData>
            </a:graphic>
          </wp:inline>
        </w:drawing>
      </w:r>
    </w:p>
    <w:p w:rsidR="00CB594D" w:rsidRDefault="00CB594D" w:rsidP="004C0EB0">
      <w:pPr>
        <w:pStyle w:val="Heading2"/>
        <w:rPr>
          <w:rFonts w:ascii="Arial" w:hAnsi="Arial" w:cs="Arial"/>
          <w:color w:val="auto"/>
        </w:rPr>
      </w:pPr>
      <w:bookmarkStart w:id="196" w:name="_Toc286034151"/>
      <w:bookmarkStart w:id="197" w:name="_Toc286034742"/>
      <w:bookmarkStart w:id="198" w:name="_Toc286041446"/>
      <w:bookmarkStart w:id="199" w:name="_Toc286041515"/>
      <w:bookmarkStart w:id="200" w:name="_Toc286117326"/>
      <w:bookmarkStart w:id="201" w:name="_Toc287342537"/>
      <w:proofErr w:type="spellStart"/>
      <w:r w:rsidRPr="00397C37">
        <w:rPr>
          <w:rFonts w:ascii="Arial" w:hAnsi="Arial" w:cs="Arial"/>
          <w:color w:val="auto"/>
        </w:rPr>
        <w:t>Councillor</w:t>
      </w:r>
      <w:proofErr w:type="spellEnd"/>
      <w:r w:rsidRPr="00397C37">
        <w:rPr>
          <w:rFonts w:ascii="Arial" w:hAnsi="Arial" w:cs="Arial"/>
          <w:color w:val="auto"/>
        </w:rPr>
        <w:t xml:space="preserve"> and employee benefit</w:t>
      </w:r>
      <w:bookmarkEnd w:id="196"/>
      <w:bookmarkEnd w:id="197"/>
      <w:bookmarkEnd w:id="198"/>
      <w:bookmarkEnd w:id="199"/>
      <w:bookmarkEnd w:id="200"/>
      <w:bookmarkEnd w:id="201"/>
    </w:p>
    <w:p w:rsidR="004C0EB0" w:rsidRDefault="004C0EB0" w:rsidP="004C0EB0">
      <w:pPr>
        <w:keepNext/>
        <w:spacing w:after="0" w:line="240" w:lineRule="auto"/>
        <w:jc w:val="both"/>
        <w:rPr>
          <w:rFonts w:ascii="Arial" w:hAnsi="Arial" w:cs="Arial"/>
          <w:i/>
          <w:sz w:val="20"/>
          <w:szCs w:val="20"/>
        </w:rPr>
      </w:pPr>
    </w:p>
    <w:p w:rsidR="004C0EB0" w:rsidRDefault="004C0EB0" w:rsidP="004C0EB0">
      <w:pPr>
        <w:pStyle w:val="Caption"/>
        <w:keepNext/>
      </w:pPr>
      <w:bookmarkStart w:id="202" w:name="_Toc287342488"/>
      <w:r>
        <w:t xml:space="preserve">Table </w:t>
      </w:r>
      <w:r w:rsidR="00951EB5">
        <w:fldChar w:fldCharType="begin"/>
      </w:r>
      <w:r w:rsidR="009F6B4A">
        <w:instrText xml:space="preserve"> SEQ Table \* ARABIC </w:instrText>
      </w:r>
      <w:r w:rsidR="00951EB5">
        <w:fldChar w:fldCharType="separate"/>
      </w:r>
      <w:r w:rsidR="00FB5E13">
        <w:rPr>
          <w:noProof/>
        </w:rPr>
        <w:t>30</w:t>
      </w:r>
      <w:r w:rsidR="00951EB5">
        <w:rPr>
          <w:noProof/>
        </w:rPr>
        <w:fldChar w:fldCharType="end"/>
      </w:r>
      <w:r w:rsidR="00B606A0">
        <w:rPr>
          <w:noProof/>
        </w:rPr>
        <w:t xml:space="preserve"> </w:t>
      </w:r>
      <w:r w:rsidR="004C254E">
        <w:rPr>
          <w:noProof/>
        </w:rPr>
        <w:t xml:space="preserve"> </w:t>
      </w:r>
      <w:r w:rsidR="00B606A0">
        <w:rPr>
          <w:noProof/>
        </w:rPr>
        <w:t>MBRR SA22</w:t>
      </w:r>
      <w:r w:rsidR="00B374C8">
        <w:rPr>
          <w:noProof/>
        </w:rPr>
        <w:t xml:space="preserve"> - </w:t>
      </w:r>
      <w:r w:rsidRPr="004C0EB0">
        <w:t xml:space="preserve">Summary of </w:t>
      </w:r>
      <w:proofErr w:type="spellStart"/>
      <w:r w:rsidRPr="004C0EB0">
        <w:t>councillor</w:t>
      </w:r>
      <w:proofErr w:type="spellEnd"/>
      <w:r w:rsidRPr="004C0EB0">
        <w:t xml:space="preserve"> and staff benefits</w:t>
      </w:r>
      <w:bookmarkEnd w:id="202"/>
    </w:p>
    <w:p w:rsidR="00D038A4" w:rsidRPr="00D038A4" w:rsidRDefault="00A10411" w:rsidP="00D038A4">
      <w:r w:rsidRPr="00A10411">
        <w:rPr>
          <w:noProof/>
          <w:lang w:val="en-ZA" w:eastAsia="en-ZA"/>
        </w:rPr>
        <w:drawing>
          <wp:inline distT="0" distB="0" distL="0" distR="0">
            <wp:extent cx="5943600" cy="522558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5225588"/>
                    </a:xfrm>
                    <a:prstGeom prst="rect">
                      <a:avLst/>
                    </a:prstGeom>
                    <a:noFill/>
                    <a:ln>
                      <a:noFill/>
                    </a:ln>
                  </pic:spPr>
                </pic:pic>
              </a:graphicData>
            </a:graphic>
          </wp:inline>
        </w:drawing>
      </w:r>
    </w:p>
    <w:p w:rsidR="004D3A32" w:rsidRPr="00674314" w:rsidRDefault="004D3A32" w:rsidP="00674314">
      <w:pPr>
        <w:spacing w:after="0" w:line="240" w:lineRule="auto"/>
        <w:sectPr w:rsidR="004D3A32" w:rsidRPr="00674314" w:rsidSect="004C7CAE">
          <w:pgSz w:w="12240" w:h="15840"/>
          <w:pgMar w:top="1440" w:right="1440" w:bottom="1440" w:left="1440" w:header="706" w:footer="706" w:gutter="0"/>
          <w:cols w:space="708"/>
          <w:docGrid w:linePitch="360"/>
        </w:sectPr>
      </w:pPr>
    </w:p>
    <w:p w:rsidR="004C0EB0" w:rsidRPr="004C0EB0" w:rsidRDefault="004C0EB0" w:rsidP="004C0EB0">
      <w:pPr>
        <w:pStyle w:val="Caption"/>
      </w:pPr>
      <w:bookmarkStart w:id="203" w:name="_Toc287342491"/>
      <w:r>
        <w:t xml:space="preserve">Table </w:t>
      </w:r>
      <w:r w:rsidR="00951EB5">
        <w:fldChar w:fldCharType="begin"/>
      </w:r>
      <w:r w:rsidR="009F6B4A">
        <w:instrText xml:space="preserve"> SEQ Table \* ARABIC </w:instrText>
      </w:r>
      <w:r w:rsidR="00951EB5">
        <w:fldChar w:fldCharType="separate"/>
      </w:r>
      <w:r w:rsidR="00FB5E13">
        <w:rPr>
          <w:noProof/>
        </w:rPr>
        <w:t>31</w:t>
      </w:r>
      <w:r w:rsidR="00951EB5">
        <w:rPr>
          <w:noProof/>
        </w:rPr>
        <w:fldChar w:fldCharType="end"/>
      </w:r>
      <w:r w:rsidR="00E4578B">
        <w:rPr>
          <w:noProof/>
        </w:rPr>
        <w:t xml:space="preserve"> </w:t>
      </w:r>
      <w:r w:rsidR="00211687">
        <w:rPr>
          <w:noProof/>
        </w:rPr>
        <w:t xml:space="preserve"> </w:t>
      </w:r>
      <w:r w:rsidR="00E4578B">
        <w:rPr>
          <w:noProof/>
        </w:rPr>
        <w:t>MBRR SA25</w:t>
      </w:r>
      <w:r w:rsidR="00B374C8">
        <w:rPr>
          <w:noProof/>
        </w:rPr>
        <w:t xml:space="preserve"> - </w:t>
      </w:r>
      <w:r w:rsidRPr="004C0EB0">
        <w:t>Budgeted monthly revenue and expenditure</w:t>
      </w:r>
      <w:bookmarkEnd w:id="203"/>
    </w:p>
    <w:p w:rsidR="004C0EB0" w:rsidRDefault="00A10411" w:rsidP="00E75128">
      <w:pPr>
        <w:spacing w:after="0" w:line="240" w:lineRule="auto"/>
        <w:jc w:val="both"/>
        <w:rPr>
          <w:rFonts w:ascii="Arial" w:hAnsi="Arial" w:cs="Arial"/>
          <w:i/>
          <w:sz w:val="20"/>
          <w:szCs w:val="20"/>
        </w:rPr>
      </w:pPr>
      <w:r w:rsidRPr="00A10411">
        <w:rPr>
          <w:noProof/>
          <w:lang w:val="en-ZA" w:eastAsia="en-ZA"/>
        </w:rPr>
        <w:drawing>
          <wp:inline distT="0" distB="0" distL="0" distR="0">
            <wp:extent cx="8686710" cy="5557962"/>
            <wp:effectExtent l="0" t="0" r="635"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91022" cy="5560721"/>
                    </a:xfrm>
                    <a:prstGeom prst="rect">
                      <a:avLst/>
                    </a:prstGeom>
                    <a:noFill/>
                    <a:ln>
                      <a:noFill/>
                    </a:ln>
                  </pic:spPr>
                </pic:pic>
              </a:graphicData>
            </a:graphic>
          </wp:inline>
        </w:drawing>
      </w:r>
    </w:p>
    <w:p w:rsidR="004C0EB0" w:rsidRPr="00A10411" w:rsidRDefault="004C0EB0" w:rsidP="004C0EB0">
      <w:pPr>
        <w:pStyle w:val="Caption"/>
        <w:rPr>
          <w:sz w:val="20"/>
          <w:szCs w:val="20"/>
        </w:rPr>
      </w:pPr>
      <w:bookmarkStart w:id="204" w:name="_Toc287342492"/>
      <w:r w:rsidRPr="00A10411">
        <w:rPr>
          <w:sz w:val="20"/>
          <w:szCs w:val="20"/>
        </w:rPr>
        <w:t xml:space="preserve">Table </w:t>
      </w:r>
      <w:r w:rsidR="00951EB5" w:rsidRPr="00A10411">
        <w:rPr>
          <w:sz w:val="20"/>
          <w:szCs w:val="20"/>
        </w:rPr>
        <w:fldChar w:fldCharType="begin"/>
      </w:r>
      <w:r w:rsidR="009F6B4A" w:rsidRPr="00A10411">
        <w:rPr>
          <w:sz w:val="20"/>
          <w:szCs w:val="20"/>
        </w:rPr>
        <w:instrText xml:space="preserve"> SEQ Table \* ARABIC </w:instrText>
      </w:r>
      <w:r w:rsidR="00951EB5" w:rsidRPr="00A10411">
        <w:rPr>
          <w:sz w:val="20"/>
          <w:szCs w:val="20"/>
        </w:rPr>
        <w:fldChar w:fldCharType="separate"/>
      </w:r>
      <w:r w:rsidR="00FB5E13" w:rsidRPr="00A10411">
        <w:rPr>
          <w:noProof/>
          <w:sz w:val="20"/>
          <w:szCs w:val="20"/>
        </w:rPr>
        <w:t>32</w:t>
      </w:r>
      <w:r w:rsidR="00951EB5" w:rsidRPr="00A10411">
        <w:rPr>
          <w:noProof/>
          <w:sz w:val="20"/>
          <w:szCs w:val="20"/>
        </w:rPr>
        <w:fldChar w:fldCharType="end"/>
      </w:r>
      <w:r w:rsidRPr="00A10411">
        <w:rPr>
          <w:sz w:val="20"/>
          <w:szCs w:val="20"/>
        </w:rPr>
        <w:t xml:space="preserve">  </w:t>
      </w:r>
      <w:r w:rsidR="00E4578B" w:rsidRPr="00A10411">
        <w:rPr>
          <w:sz w:val="20"/>
          <w:szCs w:val="20"/>
        </w:rPr>
        <w:t>MBRR SA26</w:t>
      </w:r>
      <w:r w:rsidR="00B374C8" w:rsidRPr="00A10411">
        <w:rPr>
          <w:sz w:val="20"/>
          <w:szCs w:val="20"/>
        </w:rPr>
        <w:t xml:space="preserve"> - </w:t>
      </w:r>
      <w:r w:rsidR="00E4578B" w:rsidRPr="00A10411">
        <w:rPr>
          <w:sz w:val="20"/>
          <w:szCs w:val="20"/>
        </w:rPr>
        <w:t>Bud</w:t>
      </w:r>
      <w:r w:rsidRPr="00A10411">
        <w:rPr>
          <w:sz w:val="20"/>
          <w:szCs w:val="20"/>
        </w:rPr>
        <w:t>geted monthly revenue and expenditure (municipal vote)</w:t>
      </w:r>
      <w:bookmarkEnd w:id="204"/>
    </w:p>
    <w:p w:rsidR="00E75128" w:rsidRDefault="00A10411" w:rsidP="00E75128">
      <w:pPr>
        <w:spacing w:after="0" w:line="240" w:lineRule="auto"/>
        <w:jc w:val="both"/>
        <w:rPr>
          <w:rFonts w:ascii="Arial" w:hAnsi="Arial" w:cs="Arial"/>
          <w:i/>
          <w:sz w:val="20"/>
          <w:szCs w:val="20"/>
        </w:rPr>
      </w:pPr>
      <w:r w:rsidRPr="00A10411">
        <w:rPr>
          <w:noProof/>
          <w:lang w:val="en-ZA" w:eastAsia="en-ZA"/>
        </w:rPr>
        <w:drawing>
          <wp:inline distT="0" distB="0" distL="0" distR="0">
            <wp:extent cx="8686164" cy="4977516"/>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90056" cy="4979746"/>
                    </a:xfrm>
                    <a:prstGeom prst="rect">
                      <a:avLst/>
                    </a:prstGeom>
                    <a:noFill/>
                    <a:ln>
                      <a:noFill/>
                    </a:ln>
                  </pic:spPr>
                </pic:pic>
              </a:graphicData>
            </a:graphic>
          </wp:inline>
        </w:drawing>
      </w:r>
    </w:p>
    <w:p w:rsidR="00E56FBA" w:rsidRDefault="00E56FBA" w:rsidP="004C0EB0">
      <w:pPr>
        <w:pStyle w:val="Caption"/>
        <w:rPr>
          <w:rFonts w:cs="Arial"/>
          <w:b w:val="0"/>
          <w:bCs w:val="0"/>
          <w:i/>
          <w:sz w:val="20"/>
          <w:szCs w:val="20"/>
        </w:rPr>
      </w:pPr>
      <w:bookmarkStart w:id="205" w:name="_Toc287342493"/>
    </w:p>
    <w:bookmarkEnd w:id="205"/>
    <w:p w:rsidR="00B50FDF" w:rsidRDefault="00B50FDF" w:rsidP="00B50FDF">
      <w:pPr>
        <w:tabs>
          <w:tab w:val="left" w:pos="13680"/>
        </w:tabs>
        <w:spacing w:after="0" w:line="240" w:lineRule="auto"/>
        <w:ind w:right="-86"/>
      </w:pPr>
    </w:p>
    <w:p w:rsidR="00A10411" w:rsidRDefault="00A10411" w:rsidP="00B50FDF">
      <w:pPr>
        <w:tabs>
          <w:tab w:val="left" w:pos="13680"/>
        </w:tabs>
        <w:spacing w:after="0" w:line="240" w:lineRule="auto"/>
        <w:ind w:right="-86"/>
      </w:pPr>
    </w:p>
    <w:p w:rsidR="006921F2" w:rsidRDefault="006921F2" w:rsidP="006921F2">
      <w:pPr>
        <w:pStyle w:val="Caption"/>
      </w:pPr>
      <w:bookmarkStart w:id="206" w:name="_Toc287342494"/>
      <w:r>
        <w:t xml:space="preserve">Table </w:t>
      </w:r>
      <w:r w:rsidR="00951EB5">
        <w:fldChar w:fldCharType="begin"/>
      </w:r>
      <w:r w:rsidR="009F6B4A">
        <w:instrText xml:space="preserve"> SEQ Table \* ARABIC </w:instrText>
      </w:r>
      <w:r w:rsidR="00951EB5">
        <w:fldChar w:fldCharType="separate"/>
      </w:r>
      <w:r w:rsidR="00FB5E13">
        <w:rPr>
          <w:noProof/>
        </w:rPr>
        <w:t>34</w:t>
      </w:r>
      <w:r w:rsidR="00951EB5">
        <w:rPr>
          <w:noProof/>
        </w:rPr>
        <w:fldChar w:fldCharType="end"/>
      </w:r>
      <w:r w:rsidR="00E4578B">
        <w:rPr>
          <w:noProof/>
        </w:rPr>
        <w:t xml:space="preserve"> </w:t>
      </w:r>
      <w:r w:rsidR="00211687">
        <w:rPr>
          <w:noProof/>
        </w:rPr>
        <w:t xml:space="preserve"> </w:t>
      </w:r>
      <w:r w:rsidR="00E4578B">
        <w:rPr>
          <w:noProof/>
        </w:rPr>
        <w:t>MBRR SA28</w:t>
      </w:r>
      <w:r w:rsidR="00BA7F72">
        <w:rPr>
          <w:noProof/>
        </w:rPr>
        <w:t xml:space="preserve"> - </w:t>
      </w:r>
      <w:r w:rsidRPr="006921F2">
        <w:t>Budgeted monthly capital expenditure (municipal vote)</w:t>
      </w:r>
      <w:bookmarkEnd w:id="206"/>
    </w:p>
    <w:p w:rsidR="00B50FDF" w:rsidRDefault="00A10411" w:rsidP="00B50FDF">
      <w:pPr>
        <w:tabs>
          <w:tab w:val="left" w:pos="13680"/>
        </w:tabs>
        <w:spacing w:after="0" w:line="240" w:lineRule="auto"/>
        <w:ind w:right="-90"/>
      </w:pPr>
      <w:r w:rsidRPr="00A10411">
        <w:rPr>
          <w:noProof/>
          <w:lang w:val="en-ZA" w:eastAsia="en-ZA"/>
        </w:rPr>
        <w:drawing>
          <wp:inline distT="0" distB="0" distL="0" distR="0">
            <wp:extent cx="8686800" cy="530440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86800" cy="5304406"/>
                    </a:xfrm>
                    <a:prstGeom prst="rect">
                      <a:avLst/>
                    </a:prstGeom>
                    <a:noFill/>
                    <a:ln>
                      <a:noFill/>
                    </a:ln>
                  </pic:spPr>
                </pic:pic>
              </a:graphicData>
            </a:graphic>
          </wp:inline>
        </w:drawing>
      </w:r>
    </w:p>
    <w:p w:rsidR="00B50FDF" w:rsidRDefault="00B50FDF" w:rsidP="00E4578B">
      <w:pPr>
        <w:pStyle w:val="Caption"/>
      </w:pPr>
      <w:r>
        <w:br w:type="column"/>
      </w:r>
      <w:bookmarkStart w:id="207" w:name="_Toc287342495"/>
      <w:r w:rsidR="006921F2">
        <w:t xml:space="preserve">Table </w:t>
      </w:r>
      <w:r w:rsidR="00951EB5">
        <w:fldChar w:fldCharType="begin"/>
      </w:r>
      <w:r w:rsidR="009F6B4A">
        <w:instrText xml:space="preserve"> SEQ Table \* ARABIC </w:instrText>
      </w:r>
      <w:r w:rsidR="00951EB5">
        <w:fldChar w:fldCharType="separate"/>
      </w:r>
      <w:r w:rsidR="00FB5E13">
        <w:rPr>
          <w:noProof/>
        </w:rPr>
        <w:t>35</w:t>
      </w:r>
      <w:r w:rsidR="00951EB5">
        <w:rPr>
          <w:noProof/>
        </w:rPr>
        <w:fldChar w:fldCharType="end"/>
      </w:r>
      <w:r w:rsidR="00E4578B">
        <w:rPr>
          <w:noProof/>
        </w:rPr>
        <w:t xml:space="preserve"> </w:t>
      </w:r>
      <w:r w:rsidR="00211687">
        <w:rPr>
          <w:noProof/>
        </w:rPr>
        <w:t xml:space="preserve"> </w:t>
      </w:r>
      <w:r w:rsidR="00E4578B">
        <w:rPr>
          <w:noProof/>
        </w:rPr>
        <w:t>MBRR SA29</w:t>
      </w:r>
      <w:r w:rsidR="00BA7F72">
        <w:rPr>
          <w:noProof/>
        </w:rPr>
        <w:t xml:space="preserve"> - </w:t>
      </w:r>
      <w:r w:rsidR="006921F2" w:rsidRPr="006921F2">
        <w:t>Budgeted monthly capital expenditure (standard classification)</w:t>
      </w:r>
      <w:bookmarkEnd w:id="207"/>
    </w:p>
    <w:p w:rsidR="00FA2464" w:rsidRPr="00A10411" w:rsidRDefault="00A10411" w:rsidP="00A10411">
      <w:pPr>
        <w:autoSpaceDE w:val="0"/>
        <w:autoSpaceDN w:val="0"/>
        <w:adjustRightInd w:val="0"/>
        <w:spacing w:after="0" w:line="240" w:lineRule="auto"/>
        <w:jc w:val="both"/>
        <w:rPr>
          <w:rFonts w:ascii="Arial" w:hAnsi="Arial" w:cs="Arial"/>
        </w:rPr>
        <w:sectPr w:rsidR="00FA2464" w:rsidRPr="00A10411" w:rsidSect="00E75128">
          <w:footerReference w:type="default" r:id="rId49"/>
          <w:pgSz w:w="15840" w:h="12240" w:orient="landscape"/>
          <w:pgMar w:top="1440" w:right="1440" w:bottom="1440" w:left="720" w:header="706" w:footer="706" w:gutter="0"/>
          <w:cols w:space="708"/>
          <w:docGrid w:linePitch="360"/>
        </w:sectPr>
      </w:pPr>
      <w:r w:rsidRPr="00A10411">
        <w:rPr>
          <w:noProof/>
          <w:lang w:val="en-ZA" w:eastAsia="en-ZA"/>
        </w:rPr>
        <w:drawing>
          <wp:inline distT="0" distB="0" distL="0" distR="0">
            <wp:extent cx="8686800" cy="4835072"/>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86800" cy="4835072"/>
                    </a:xfrm>
                    <a:prstGeom prst="rect">
                      <a:avLst/>
                    </a:prstGeom>
                    <a:noFill/>
                    <a:ln>
                      <a:noFill/>
                    </a:ln>
                  </pic:spPr>
                </pic:pic>
              </a:graphicData>
            </a:graphic>
          </wp:inline>
        </w:drawing>
      </w:r>
    </w:p>
    <w:p w:rsidR="00F82161" w:rsidRPr="00236943" w:rsidRDefault="00F82161" w:rsidP="00236943">
      <w:pPr>
        <w:rPr>
          <w:rFonts w:ascii="Arial" w:hAnsi="Arial" w:cs="Arial"/>
        </w:rPr>
        <w:sectPr w:rsidR="00F82161" w:rsidRPr="00236943" w:rsidSect="00EE7C40">
          <w:footerReference w:type="default" r:id="rId51"/>
          <w:pgSz w:w="12240" w:h="15840"/>
          <w:pgMar w:top="1440" w:right="1440" w:bottom="720" w:left="1440" w:header="706" w:footer="706" w:gutter="0"/>
          <w:cols w:space="708"/>
          <w:docGrid w:linePitch="360"/>
        </w:sectPr>
      </w:pPr>
    </w:p>
    <w:p w:rsidR="00CB594D" w:rsidRPr="00397C37" w:rsidRDefault="00CB594D" w:rsidP="00A10411">
      <w:pPr>
        <w:pStyle w:val="Heading2"/>
        <w:numPr>
          <w:ilvl w:val="0"/>
          <w:numId w:val="0"/>
        </w:numPr>
        <w:rPr>
          <w:rFonts w:ascii="Arial" w:hAnsi="Arial" w:cs="Arial"/>
          <w:color w:val="auto"/>
        </w:rPr>
      </w:pPr>
      <w:bookmarkStart w:id="208" w:name="_Toc286034156"/>
      <w:bookmarkStart w:id="209" w:name="_Toc286034747"/>
      <w:bookmarkStart w:id="210" w:name="_Toc286041451"/>
      <w:bookmarkStart w:id="211" w:name="_Toc286041520"/>
      <w:bookmarkStart w:id="212" w:name="_Toc286117331"/>
      <w:bookmarkStart w:id="213" w:name="_Toc287342542"/>
      <w:r w:rsidRPr="00397C37">
        <w:rPr>
          <w:rFonts w:ascii="Arial" w:hAnsi="Arial" w:cs="Arial"/>
          <w:color w:val="auto"/>
        </w:rPr>
        <w:t>Legislation compliance status</w:t>
      </w:r>
      <w:bookmarkEnd w:id="208"/>
      <w:bookmarkEnd w:id="209"/>
      <w:bookmarkEnd w:id="210"/>
      <w:bookmarkEnd w:id="211"/>
      <w:bookmarkEnd w:id="212"/>
      <w:bookmarkEnd w:id="213"/>
    </w:p>
    <w:p w:rsidR="007F1C14" w:rsidRDefault="007F1C14" w:rsidP="00036626">
      <w:pPr>
        <w:spacing w:after="0" w:line="240" w:lineRule="auto"/>
        <w:jc w:val="both"/>
        <w:rPr>
          <w:rFonts w:ascii="Arial" w:eastAsiaTheme="majorEastAsia" w:hAnsi="Arial" w:cs="Arial"/>
          <w:b/>
          <w:bCs/>
          <w:sz w:val="26"/>
          <w:szCs w:val="26"/>
        </w:rPr>
      </w:pPr>
    </w:p>
    <w:p w:rsidR="007F1C14" w:rsidRPr="007F1C14" w:rsidRDefault="007F1C14" w:rsidP="007F1C14">
      <w:pPr>
        <w:spacing w:after="0" w:line="240" w:lineRule="auto"/>
        <w:jc w:val="both"/>
        <w:rPr>
          <w:rFonts w:ascii="Arial" w:hAnsi="Arial" w:cs="Arial"/>
        </w:rPr>
      </w:pPr>
      <w:r w:rsidRPr="007F1C14">
        <w:rPr>
          <w:rFonts w:ascii="Arial" w:hAnsi="Arial" w:cs="Arial"/>
        </w:rPr>
        <w:t>Compliance with the MFMA implementation requirements have been substantially adhered to through the following activities:</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jc w:val="both"/>
        <w:rPr>
          <w:rFonts w:ascii="Arial" w:hAnsi="Arial" w:cs="Arial"/>
        </w:rPr>
      </w:pPr>
      <w:r>
        <w:rPr>
          <w:rFonts w:ascii="Arial" w:hAnsi="Arial" w:cs="Arial"/>
        </w:rPr>
        <w:t>In year reporting</w:t>
      </w:r>
    </w:p>
    <w:p w:rsidR="007F1C14" w:rsidRPr="007F1C14" w:rsidRDefault="007F1C14" w:rsidP="007F1C14">
      <w:pPr>
        <w:spacing w:after="0" w:line="240" w:lineRule="auto"/>
        <w:ind w:left="426"/>
        <w:jc w:val="both"/>
        <w:rPr>
          <w:rFonts w:ascii="Arial" w:hAnsi="Arial" w:cs="Arial"/>
        </w:rPr>
      </w:pPr>
      <w:r w:rsidRPr="007F1C14">
        <w:rPr>
          <w:rFonts w:ascii="Arial" w:hAnsi="Arial" w:cs="Arial"/>
        </w:rPr>
        <w:t xml:space="preserve">Reporting to National Treasury in electronic format was fully complied </w:t>
      </w:r>
      <w:r>
        <w:rPr>
          <w:rFonts w:ascii="Arial" w:hAnsi="Arial" w:cs="Arial"/>
        </w:rPr>
        <w:t xml:space="preserve">with </w:t>
      </w:r>
      <w:r w:rsidRPr="007F1C14">
        <w:rPr>
          <w:rFonts w:ascii="Arial" w:hAnsi="Arial" w:cs="Arial"/>
        </w:rPr>
        <w:t xml:space="preserve">on a monthly basis. </w:t>
      </w:r>
      <w:r w:rsidR="006353A2">
        <w:rPr>
          <w:rFonts w:ascii="Arial" w:hAnsi="Arial" w:cs="Arial"/>
        </w:rPr>
        <w:t xml:space="preserve"> </w:t>
      </w:r>
      <w:r w:rsidRPr="007F1C14">
        <w:rPr>
          <w:rFonts w:ascii="Arial" w:hAnsi="Arial" w:cs="Arial"/>
        </w:rPr>
        <w:t>Section 71 reporting to the Executive Mayor (within 10 working days) has progressively improved and includes monthly publish</w:t>
      </w:r>
      <w:r>
        <w:rPr>
          <w:rFonts w:ascii="Arial" w:hAnsi="Arial" w:cs="Arial"/>
        </w:rPr>
        <w:t xml:space="preserve">ed financial performance </w:t>
      </w:r>
      <w:r w:rsidR="00713D41">
        <w:rPr>
          <w:rFonts w:ascii="Arial" w:hAnsi="Arial" w:cs="Arial"/>
        </w:rPr>
        <w:t>o</w:t>
      </w:r>
      <w:r>
        <w:rPr>
          <w:rFonts w:ascii="Arial" w:hAnsi="Arial" w:cs="Arial"/>
        </w:rPr>
        <w:t xml:space="preserve">n the City’s </w:t>
      </w:r>
      <w:r w:rsidRPr="007F1C14">
        <w:rPr>
          <w:rFonts w:ascii="Arial" w:hAnsi="Arial" w:cs="Arial"/>
        </w:rPr>
        <w:t>website.   </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Pr>
          <w:rFonts w:ascii="Arial" w:hAnsi="Arial" w:cs="Arial"/>
        </w:rPr>
        <w:t xml:space="preserve">Internship </w:t>
      </w:r>
      <w:proofErr w:type="spellStart"/>
      <w:r>
        <w:rPr>
          <w:rFonts w:ascii="Arial" w:hAnsi="Arial" w:cs="Arial"/>
        </w:rPr>
        <w:t>programme</w:t>
      </w:r>
      <w:proofErr w:type="spellEnd"/>
    </w:p>
    <w:p w:rsidR="007F1C14" w:rsidRPr="007F1C14" w:rsidRDefault="00547004" w:rsidP="007F1C14">
      <w:pPr>
        <w:spacing w:after="0" w:line="240" w:lineRule="auto"/>
        <w:ind w:left="426"/>
        <w:jc w:val="both"/>
        <w:rPr>
          <w:rFonts w:ascii="Arial" w:hAnsi="Arial" w:cs="Arial"/>
        </w:rPr>
      </w:pPr>
      <w:r>
        <w:rPr>
          <w:rFonts w:ascii="Arial" w:hAnsi="Arial" w:cs="Arial"/>
        </w:rPr>
        <w:t>The municipality</w:t>
      </w:r>
      <w:r w:rsidR="007F1C14" w:rsidRPr="007F1C14">
        <w:rPr>
          <w:rFonts w:ascii="Arial" w:hAnsi="Arial" w:cs="Arial"/>
        </w:rPr>
        <w:t xml:space="preserve"> is participating in the Municipal Financial Management Internship </w:t>
      </w:r>
      <w:proofErr w:type="spellStart"/>
      <w:r w:rsidR="007F1C14" w:rsidRPr="007F1C14">
        <w:rPr>
          <w:rFonts w:ascii="Arial" w:hAnsi="Arial" w:cs="Arial"/>
        </w:rPr>
        <w:t>programme</w:t>
      </w:r>
      <w:proofErr w:type="spellEnd"/>
      <w:r w:rsidR="007F1C14" w:rsidRPr="007F1C14">
        <w:rPr>
          <w:rFonts w:ascii="Arial" w:hAnsi="Arial" w:cs="Arial"/>
        </w:rPr>
        <w:t xml:space="preserve"> and has employed five interns undergoing training in various divisions of the Financial Services Department. </w:t>
      </w:r>
      <w:r w:rsidR="006353A2">
        <w:rPr>
          <w:rFonts w:ascii="Arial" w:hAnsi="Arial" w:cs="Arial"/>
        </w:rPr>
        <w:t xml:space="preserve"> </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Pr>
          <w:rFonts w:ascii="Arial" w:hAnsi="Arial" w:cs="Arial"/>
        </w:rPr>
        <w:t>Budget and Treasury Office</w:t>
      </w:r>
    </w:p>
    <w:p w:rsidR="007F1C14" w:rsidRPr="007F1C14" w:rsidRDefault="007F1C14" w:rsidP="007F1C14">
      <w:pPr>
        <w:spacing w:after="0" w:line="240" w:lineRule="auto"/>
        <w:ind w:firstLine="426"/>
        <w:jc w:val="both"/>
        <w:rPr>
          <w:rFonts w:ascii="Arial" w:hAnsi="Arial" w:cs="Arial"/>
        </w:rPr>
      </w:pPr>
      <w:r w:rsidRPr="007F1C14">
        <w:rPr>
          <w:rFonts w:ascii="Arial" w:hAnsi="Arial" w:cs="Arial"/>
        </w:rPr>
        <w:t>The Budget and Treasury Office has been established in accordance with the MFMA.</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Pr>
          <w:rFonts w:ascii="Arial" w:hAnsi="Arial" w:cs="Arial"/>
        </w:rPr>
        <w:t>Audit Committee</w:t>
      </w:r>
    </w:p>
    <w:p w:rsidR="007F1C14" w:rsidRPr="007F1C14" w:rsidRDefault="007F1C14" w:rsidP="007F1C14">
      <w:pPr>
        <w:spacing w:after="0" w:line="240" w:lineRule="auto"/>
        <w:ind w:firstLine="426"/>
        <w:jc w:val="both"/>
        <w:rPr>
          <w:rFonts w:ascii="Arial" w:hAnsi="Arial" w:cs="Arial"/>
        </w:rPr>
      </w:pPr>
      <w:r w:rsidRPr="007F1C14">
        <w:rPr>
          <w:rFonts w:ascii="Arial" w:hAnsi="Arial" w:cs="Arial"/>
        </w:rPr>
        <w:t>An Audit Committee has been established</w:t>
      </w:r>
      <w:r w:rsidR="006A4BA0">
        <w:rPr>
          <w:rFonts w:ascii="Arial" w:hAnsi="Arial" w:cs="Arial"/>
        </w:rPr>
        <w:t xml:space="preserve"> but outsourced</w:t>
      </w:r>
      <w:r w:rsidRPr="007F1C14">
        <w:rPr>
          <w:rFonts w:ascii="Arial" w:hAnsi="Arial" w:cs="Arial"/>
        </w:rPr>
        <w:t>.</w:t>
      </w:r>
    </w:p>
    <w:p w:rsidR="007F1C14" w:rsidRPr="007F1C14" w:rsidRDefault="007F1C14" w:rsidP="007F1C14">
      <w:pPr>
        <w:spacing w:after="0" w:line="240" w:lineRule="auto"/>
        <w:jc w:val="both"/>
        <w:rPr>
          <w:rFonts w:ascii="Arial" w:hAnsi="Arial" w:cs="Arial"/>
        </w:rPr>
      </w:pPr>
    </w:p>
    <w:p w:rsidR="007F1C14" w:rsidRPr="007F1C14"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sidRPr="007F1C14">
        <w:rPr>
          <w:rFonts w:ascii="Arial" w:hAnsi="Arial" w:cs="Arial"/>
        </w:rPr>
        <w:t>S</w:t>
      </w:r>
      <w:r>
        <w:rPr>
          <w:rFonts w:ascii="Arial" w:hAnsi="Arial" w:cs="Arial"/>
        </w:rPr>
        <w:t>ervice Delivery and Implementation Plan</w:t>
      </w:r>
    </w:p>
    <w:p w:rsidR="007F1C14" w:rsidRDefault="007F1C14" w:rsidP="007F1C14">
      <w:pPr>
        <w:spacing w:after="0" w:line="240" w:lineRule="auto"/>
        <w:ind w:left="426"/>
        <w:jc w:val="both"/>
        <w:rPr>
          <w:rFonts w:ascii="Arial" w:hAnsi="Arial" w:cs="Arial"/>
        </w:rPr>
      </w:pPr>
      <w:r>
        <w:rPr>
          <w:rFonts w:ascii="Arial" w:hAnsi="Arial" w:cs="Arial"/>
        </w:rPr>
        <w:t>The detail SD</w:t>
      </w:r>
      <w:r w:rsidRPr="007F1C14">
        <w:rPr>
          <w:rFonts w:ascii="Arial" w:hAnsi="Arial" w:cs="Arial"/>
        </w:rPr>
        <w:t xml:space="preserve">BIP document is at a draft stage and will be </w:t>
      </w:r>
      <w:proofErr w:type="spellStart"/>
      <w:r w:rsidRPr="007F1C14">
        <w:rPr>
          <w:rFonts w:ascii="Arial" w:hAnsi="Arial" w:cs="Arial"/>
        </w:rPr>
        <w:t>finalis</w:t>
      </w:r>
      <w:r w:rsidR="00547004">
        <w:rPr>
          <w:rFonts w:ascii="Arial" w:hAnsi="Arial" w:cs="Arial"/>
        </w:rPr>
        <w:t>ed</w:t>
      </w:r>
      <w:proofErr w:type="spellEnd"/>
      <w:r w:rsidR="00547004">
        <w:rPr>
          <w:rFonts w:ascii="Arial" w:hAnsi="Arial" w:cs="Arial"/>
        </w:rPr>
        <w:t xml:space="preserve"> after approval of the </w:t>
      </w:r>
      <w:r w:rsidR="001143B3">
        <w:rPr>
          <w:rFonts w:ascii="Arial" w:hAnsi="Arial" w:cs="Arial"/>
        </w:rPr>
        <w:t>2018/19</w:t>
      </w:r>
      <w:r w:rsidRPr="007F1C14">
        <w:rPr>
          <w:rFonts w:ascii="Arial" w:hAnsi="Arial" w:cs="Arial"/>
        </w:rPr>
        <w:t xml:space="preserve"> MTREF in May 201</w:t>
      </w:r>
      <w:r w:rsidR="00244316">
        <w:rPr>
          <w:rFonts w:ascii="Arial" w:hAnsi="Arial" w:cs="Arial"/>
        </w:rPr>
        <w:t>6</w:t>
      </w:r>
      <w:r>
        <w:rPr>
          <w:rFonts w:ascii="Arial" w:hAnsi="Arial" w:cs="Arial"/>
        </w:rPr>
        <w:t xml:space="preserve"> directly ali</w:t>
      </w:r>
      <w:r w:rsidR="00547004">
        <w:rPr>
          <w:rFonts w:ascii="Arial" w:hAnsi="Arial" w:cs="Arial"/>
        </w:rPr>
        <w:t xml:space="preserve">gned and informed by the </w:t>
      </w:r>
      <w:r w:rsidR="001143B3">
        <w:rPr>
          <w:rFonts w:ascii="Arial" w:hAnsi="Arial" w:cs="Arial"/>
        </w:rPr>
        <w:t>2018/19</w:t>
      </w:r>
      <w:r>
        <w:rPr>
          <w:rFonts w:ascii="Arial" w:hAnsi="Arial" w:cs="Arial"/>
        </w:rPr>
        <w:t xml:space="preserve"> MTREF.</w:t>
      </w:r>
    </w:p>
    <w:p w:rsidR="00732554" w:rsidRDefault="00732554" w:rsidP="00732554">
      <w:pPr>
        <w:spacing w:after="0" w:line="240" w:lineRule="auto"/>
        <w:jc w:val="both"/>
        <w:rPr>
          <w:rFonts w:ascii="Arial" w:hAnsi="Arial" w:cs="Arial"/>
        </w:rPr>
      </w:pPr>
    </w:p>
    <w:p w:rsidR="00732554" w:rsidRPr="00732554" w:rsidRDefault="00732554" w:rsidP="00E50C0E">
      <w:pPr>
        <w:pStyle w:val="ListParagraph"/>
        <w:numPr>
          <w:ilvl w:val="3"/>
          <w:numId w:val="2"/>
        </w:numPr>
        <w:tabs>
          <w:tab w:val="clear" w:pos="2880"/>
        </w:tabs>
        <w:spacing w:after="0" w:line="240" w:lineRule="auto"/>
        <w:ind w:left="426"/>
        <w:jc w:val="both"/>
        <w:rPr>
          <w:rFonts w:ascii="Arial" w:hAnsi="Arial" w:cs="Arial"/>
        </w:rPr>
      </w:pPr>
      <w:r w:rsidRPr="00732554">
        <w:rPr>
          <w:rFonts w:ascii="Arial" w:hAnsi="Arial" w:cs="Arial"/>
        </w:rPr>
        <w:t>Annual Report</w:t>
      </w:r>
    </w:p>
    <w:p w:rsidR="00732554" w:rsidRPr="00732554" w:rsidRDefault="00732554" w:rsidP="00732554">
      <w:pPr>
        <w:spacing w:after="0" w:line="240" w:lineRule="auto"/>
        <w:ind w:left="426"/>
        <w:jc w:val="both"/>
        <w:rPr>
          <w:rFonts w:ascii="Arial" w:hAnsi="Arial" w:cs="Arial"/>
        </w:rPr>
      </w:pPr>
      <w:r>
        <w:rPr>
          <w:rFonts w:ascii="Arial" w:hAnsi="Arial" w:cs="Arial"/>
        </w:rPr>
        <w:t>Annual report is compiled in terms of the MFMA and National Treasury requirements.</w:t>
      </w:r>
    </w:p>
    <w:p w:rsidR="007F1C14" w:rsidRPr="007F1C14" w:rsidRDefault="007F1C14" w:rsidP="007F1C14">
      <w:pPr>
        <w:spacing w:after="0" w:line="240" w:lineRule="auto"/>
        <w:jc w:val="both"/>
        <w:rPr>
          <w:rFonts w:ascii="Arial" w:hAnsi="Arial" w:cs="Arial"/>
        </w:rPr>
      </w:pPr>
    </w:p>
    <w:p w:rsidR="007F1C14" w:rsidRPr="00732554" w:rsidRDefault="006A4BA0" w:rsidP="00E50C0E">
      <w:pPr>
        <w:pStyle w:val="ListParagraph"/>
        <w:numPr>
          <w:ilvl w:val="0"/>
          <w:numId w:val="3"/>
        </w:numPr>
        <w:spacing w:after="0" w:line="240" w:lineRule="auto"/>
        <w:ind w:left="426" w:hanging="426"/>
        <w:jc w:val="both"/>
        <w:rPr>
          <w:rFonts w:ascii="Arial" w:hAnsi="Arial" w:cs="Arial"/>
        </w:rPr>
      </w:pPr>
      <w:r>
        <w:rPr>
          <w:rFonts w:ascii="Arial" w:hAnsi="Arial" w:cs="Arial"/>
        </w:rPr>
        <w:t>MFMP</w:t>
      </w:r>
      <w:r w:rsidR="007F1C14" w:rsidRPr="00732554">
        <w:rPr>
          <w:rFonts w:ascii="Arial" w:hAnsi="Arial" w:cs="Arial"/>
        </w:rPr>
        <w:t xml:space="preserve"> Training</w:t>
      </w:r>
    </w:p>
    <w:p w:rsidR="007F1C14" w:rsidRPr="007F1C14" w:rsidRDefault="006A4BA0" w:rsidP="007F1C14">
      <w:pPr>
        <w:spacing w:after="0" w:line="240" w:lineRule="auto"/>
        <w:ind w:left="426"/>
        <w:jc w:val="both"/>
        <w:rPr>
          <w:rFonts w:ascii="Arial" w:hAnsi="Arial" w:cs="Arial"/>
        </w:rPr>
      </w:pPr>
      <w:r>
        <w:rPr>
          <w:rFonts w:ascii="Arial" w:hAnsi="Arial" w:cs="Arial"/>
        </w:rPr>
        <w:t>The MFMP training is currently underway and most senior management are partaking in this training</w:t>
      </w:r>
      <w:r w:rsidR="007F1C14" w:rsidRPr="007F1C14">
        <w:rPr>
          <w:rFonts w:ascii="Arial" w:hAnsi="Arial" w:cs="Arial"/>
        </w:rPr>
        <w:t>.</w:t>
      </w:r>
    </w:p>
    <w:p w:rsidR="007F1C14" w:rsidRPr="007F1C14" w:rsidRDefault="007F1C14" w:rsidP="007F1C14">
      <w:pPr>
        <w:spacing w:after="0" w:line="240" w:lineRule="auto"/>
        <w:jc w:val="both"/>
        <w:rPr>
          <w:rFonts w:ascii="Arial" w:hAnsi="Arial" w:cs="Arial"/>
        </w:rPr>
      </w:pPr>
    </w:p>
    <w:p w:rsidR="007F1C14" w:rsidRPr="00732554" w:rsidRDefault="007F1C14" w:rsidP="00E50C0E">
      <w:pPr>
        <w:pStyle w:val="ListParagraph"/>
        <w:numPr>
          <w:ilvl w:val="0"/>
          <w:numId w:val="3"/>
        </w:numPr>
        <w:spacing w:after="0" w:line="240" w:lineRule="auto"/>
        <w:ind w:left="426" w:hanging="426"/>
        <w:jc w:val="both"/>
        <w:rPr>
          <w:rFonts w:ascii="Arial" w:hAnsi="Arial" w:cs="Arial"/>
        </w:rPr>
      </w:pPr>
      <w:r w:rsidRPr="00732554">
        <w:rPr>
          <w:rFonts w:ascii="Arial" w:hAnsi="Arial" w:cs="Arial"/>
        </w:rPr>
        <w:t>Policies</w:t>
      </w:r>
    </w:p>
    <w:p w:rsidR="007F1C14" w:rsidRPr="007F1C14" w:rsidRDefault="007F1C14" w:rsidP="00732554">
      <w:pPr>
        <w:spacing w:after="0" w:line="240" w:lineRule="auto"/>
        <w:ind w:left="426"/>
        <w:jc w:val="both"/>
        <w:rPr>
          <w:rFonts w:ascii="Arial" w:eastAsiaTheme="majorEastAsia" w:hAnsi="Arial" w:cs="Arial"/>
          <w:b/>
          <w:bCs/>
        </w:rPr>
      </w:pPr>
      <w:r w:rsidRPr="007F1C14">
        <w:rPr>
          <w:rFonts w:ascii="Arial" w:hAnsi="Arial" w:cs="Arial"/>
        </w:rPr>
        <w:t xml:space="preserve">An amendment of the Municipal Property Rates Regulations as published in Government Notice 363 of 27 March 2009, was announced in Government Gazette 33016 on 12 March 2010. </w:t>
      </w:r>
      <w:r w:rsidR="006353A2">
        <w:rPr>
          <w:rFonts w:ascii="Arial" w:hAnsi="Arial" w:cs="Arial"/>
        </w:rPr>
        <w:t xml:space="preserve"> </w:t>
      </w:r>
      <w:r w:rsidR="00732554">
        <w:rPr>
          <w:rFonts w:ascii="Arial" w:hAnsi="Arial" w:cs="Arial"/>
        </w:rPr>
        <w:t xml:space="preserve"> The ratios as prescribed in the Regulations have been complied with.</w:t>
      </w:r>
    </w:p>
    <w:p w:rsidR="00036626" w:rsidRDefault="00036626"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Default="00F82161" w:rsidP="00036626">
      <w:pPr>
        <w:spacing w:after="0" w:line="240" w:lineRule="auto"/>
        <w:jc w:val="both"/>
        <w:rPr>
          <w:rFonts w:ascii="Arial" w:eastAsiaTheme="majorEastAsia" w:hAnsi="Arial" w:cs="Arial"/>
          <w:b/>
          <w:bCs/>
          <w:sz w:val="26"/>
          <w:szCs w:val="26"/>
        </w:rPr>
      </w:pPr>
    </w:p>
    <w:p w:rsidR="00F82161" w:rsidRPr="00036626" w:rsidRDefault="00F82161" w:rsidP="00036626">
      <w:pPr>
        <w:spacing w:after="0" w:line="240" w:lineRule="auto"/>
        <w:jc w:val="both"/>
        <w:rPr>
          <w:rFonts w:ascii="Arial" w:eastAsiaTheme="majorEastAsia" w:hAnsi="Arial" w:cs="Arial"/>
          <w:b/>
          <w:bCs/>
          <w:sz w:val="26"/>
          <w:szCs w:val="26"/>
        </w:rPr>
      </w:pPr>
    </w:p>
    <w:p w:rsidR="000C3921" w:rsidRDefault="00CB594D" w:rsidP="004C4EA1">
      <w:pPr>
        <w:pStyle w:val="Heading2"/>
        <w:rPr>
          <w:rFonts w:ascii="Arial" w:hAnsi="Arial" w:cs="Arial"/>
          <w:color w:val="auto"/>
        </w:rPr>
      </w:pPr>
      <w:bookmarkStart w:id="214" w:name="_Toc286034157"/>
      <w:bookmarkStart w:id="215" w:name="_Toc286034748"/>
      <w:bookmarkStart w:id="216" w:name="_Toc286041452"/>
      <w:bookmarkStart w:id="217" w:name="_Toc286041521"/>
      <w:bookmarkStart w:id="218" w:name="_Toc286117332"/>
      <w:bookmarkStart w:id="219" w:name="_Toc287342543"/>
      <w:r w:rsidRPr="004C0EB0">
        <w:rPr>
          <w:rFonts w:ascii="Arial" w:hAnsi="Arial" w:cs="Arial"/>
          <w:color w:val="auto"/>
        </w:rPr>
        <w:t>Other supporting documents</w:t>
      </w:r>
      <w:bookmarkEnd w:id="214"/>
      <w:bookmarkEnd w:id="215"/>
      <w:bookmarkEnd w:id="216"/>
      <w:bookmarkEnd w:id="217"/>
      <w:bookmarkEnd w:id="218"/>
      <w:bookmarkEnd w:id="219"/>
    </w:p>
    <w:p w:rsidR="008D3A35" w:rsidRPr="00E56FBA" w:rsidRDefault="00B460E6" w:rsidP="00E56FBA">
      <w:pPr>
        <w:pStyle w:val="Caption"/>
        <w:keepNext/>
        <w:keepLines/>
      </w:pPr>
      <w:bookmarkStart w:id="220" w:name="_Toc287342505"/>
      <w:r>
        <w:t xml:space="preserve">Table </w:t>
      </w:r>
      <w:r w:rsidR="00951EB5">
        <w:fldChar w:fldCharType="begin"/>
      </w:r>
      <w:r w:rsidR="00B7350D">
        <w:instrText xml:space="preserve"> SEQ Table \* ARABIC </w:instrText>
      </w:r>
      <w:r w:rsidR="00951EB5">
        <w:fldChar w:fldCharType="separate"/>
      </w:r>
      <w:r w:rsidR="00FB5E13">
        <w:rPr>
          <w:noProof/>
        </w:rPr>
        <w:t>39</w:t>
      </w:r>
      <w:r w:rsidR="00951EB5">
        <w:rPr>
          <w:noProof/>
        </w:rPr>
        <w:fldChar w:fldCharType="end"/>
      </w:r>
      <w:r w:rsidR="00713D41">
        <w:t xml:space="preserve"> </w:t>
      </w:r>
      <w:r w:rsidR="004C4EA1">
        <w:t xml:space="preserve"> </w:t>
      </w:r>
      <w:r w:rsidR="00BA7F72">
        <w:t>MBRR T</w:t>
      </w:r>
      <w:r w:rsidR="00713D41">
        <w:t xml:space="preserve">able </w:t>
      </w:r>
      <w:r w:rsidR="00713D41" w:rsidRPr="00713D41">
        <w:t>SA1 - Supporting detail to budgeted financial performance</w:t>
      </w:r>
      <w:bookmarkEnd w:id="220"/>
    </w:p>
    <w:p w:rsidR="00F82161" w:rsidRDefault="00F82161" w:rsidP="00F82161">
      <w:pPr>
        <w:rPr>
          <w:rFonts w:ascii="Arial" w:hAnsi="Arial"/>
          <w:szCs w:val="18"/>
        </w:rPr>
      </w:pPr>
    </w:p>
    <w:p w:rsidR="00A10411" w:rsidRPr="00F82161" w:rsidRDefault="00A10411" w:rsidP="00F82161">
      <w:pPr>
        <w:rPr>
          <w:rFonts w:ascii="Arial" w:hAnsi="Arial"/>
          <w:szCs w:val="18"/>
        </w:rPr>
        <w:sectPr w:rsidR="00A10411" w:rsidRPr="00F82161" w:rsidSect="00EE7C40">
          <w:footerReference w:type="default" r:id="rId52"/>
          <w:pgSz w:w="12240" w:h="15840"/>
          <w:pgMar w:top="1440" w:right="1440" w:bottom="720" w:left="1440" w:header="706" w:footer="706" w:gutter="0"/>
          <w:cols w:space="708"/>
          <w:docGrid w:linePitch="360"/>
        </w:sectPr>
      </w:pPr>
      <w:r w:rsidRPr="00A10411">
        <w:rPr>
          <w:noProof/>
          <w:lang w:val="en-ZA" w:eastAsia="en-ZA"/>
        </w:rPr>
        <w:drawing>
          <wp:inline distT="0" distB="0" distL="0" distR="0">
            <wp:extent cx="5971430" cy="72434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82571" cy="7256959"/>
                    </a:xfrm>
                    <a:prstGeom prst="rect">
                      <a:avLst/>
                    </a:prstGeom>
                    <a:noFill/>
                    <a:ln>
                      <a:noFill/>
                    </a:ln>
                  </pic:spPr>
                </pic:pic>
              </a:graphicData>
            </a:graphic>
          </wp:inline>
        </w:drawing>
      </w:r>
    </w:p>
    <w:p w:rsidR="00375496" w:rsidRPr="00A87AFF" w:rsidRDefault="00375496" w:rsidP="00A10411">
      <w:pPr>
        <w:pStyle w:val="Caption"/>
        <w:keepNext/>
        <w:sectPr w:rsidR="00375496" w:rsidRPr="00A87AFF" w:rsidSect="00EE7C40">
          <w:footerReference w:type="default" r:id="rId54"/>
          <w:pgSz w:w="15840" w:h="12240" w:orient="landscape"/>
          <w:pgMar w:top="1440" w:right="1440" w:bottom="1440" w:left="720" w:header="706" w:footer="706" w:gutter="0"/>
          <w:cols w:space="708"/>
          <w:docGrid w:linePitch="360"/>
        </w:sectPr>
      </w:pPr>
    </w:p>
    <w:p w:rsidR="004E0C9C" w:rsidRPr="004E0C9C" w:rsidRDefault="004E0C9C" w:rsidP="004E0C9C">
      <w:pPr>
        <w:pStyle w:val="Caption"/>
      </w:pPr>
      <w:bookmarkStart w:id="221" w:name="_Toc287342507"/>
      <w:r>
        <w:t xml:space="preserve">Table </w:t>
      </w:r>
      <w:r w:rsidR="00951EB5">
        <w:fldChar w:fldCharType="begin"/>
      </w:r>
      <w:r w:rsidR="009F6B4A">
        <w:instrText xml:space="preserve"> SEQ Table \* ARABIC </w:instrText>
      </w:r>
      <w:r w:rsidR="00951EB5">
        <w:fldChar w:fldCharType="separate"/>
      </w:r>
      <w:r w:rsidR="00FB5E13">
        <w:rPr>
          <w:noProof/>
        </w:rPr>
        <w:t>41</w:t>
      </w:r>
      <w:r w:rsidR="00951EB5">
        <w:rPr>
          <w:noProof/>
        </w:rPr>
        <w:fldChar w:fldCharType="end"/>
      </w:r>
      <w:r>
        <w:t xml:space="preserve"> </w:t>
      </w:r>
      <w:r w:rsidR="004C4EA1">
        <w:t xml:space="preserve"> </w:t>
      </w:r>
      <w:r w:rsidR="00BA7F72">
        <w:t xml:space="preserve">MBRR Table </w:t>
      </w:r>
      <w:r w:rsidRPr="004E0C9C">
        <w:t>SA3 – Supporting detail to Statement of Financial Position</w:t>
      </w:r>
      <w:bookmarkEnd w:id="221"/>
    </w:p>
    <w:p w:rsidR="00E84144" w:rsidRPr="004C0EB0" w:rsidRDefault="00A10411" w:rsidP="001574F5">
      <w:pPr>
        <w:rPr>
          <w:rFonts w:ascii="Arial" w:hAnsi="Arial" w:cs="Arial"/>
        </w:rPr>
      </w:pPr>
      <w:r w:rsidRPr="00A10411">
        <w:rPr>
          <w:noProof/>
          <w:lang w:val="en-ZA" w:eastAsia="en-ZA"/>
        </w:rPr>
        <w:drawing>
          <wp:inline distT="0" distB="0" distL="0" distR="0">
            <wp:extent cx="5119296" cy="7184915"/>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49632" cy="7227492"/>
                    </a:xfrm>
                    <a:prstGeom prst="rect">
                      <a:avLst/>
                    </a:prstGeom>
                    <a:noFill/>
                    <a:ln>
                      <a:noFill/>
                    </a:ln>
                  </pic:spPr>
                </pic:pic>
              </a:graphicData>
            </a:graphic>
          </wp:inline>
        </w:drawing>
      </w:r>
    </w:p>
    <w:p w:rsidR="00375496" w:rsidRDefault="00375496" w:rsidP="006B5D63">
      <w:pPr>
        <w:pStyle w:val="Caption"/>
      </w:pPr>
    </w:p>
    <w:p w:rsidR="004E0C9C" w:rsidRDefault="004E0C9C">
      <w:pPr>
        <w:rPr>
          <w:rFonts w:ascii="Arial" w:hAnsi="Arial" w:cs="Arial"/>
        </w:rPr>
      </w:pPr>
      <w:bookmarkStart w:id="222" w:name="_Toc286034158"/>
      <w:bookmarkStart w:id="223" w:name="_Toc286034749"/>
      <w:bookmarkStart w:id="224" w:name="_Toc286041453"/>
      <w:bookmarkStart w:id="225" w:name="_Toc286041522"/>
    </w:p>
    <w:p w:rsidR="00BB77CF" w:rsidRPr="00E9594A" w:rsidRDefault="00BB77CF">
      <w:pPr>
        <w:rPr>
          <w:rFonts w:ascii="Arial" w:hAnsi="Arial" w:cs="Arial"/>
        </w:rPr>
      </w:pPr>
    </w:p>
    <w:p w:rsidR="00CB594D" w:rsidRDefault="00CB594D" w:rsidP="00397C37">
      <w:pPr>
        <w:pStyle w:val="Heading2"/>
        <w:rPr>
          <w:rFonts w:ascii="Arial" w:hAnsi="Arial" w:cs="Arial"/>
          <w:color w:val="auto"/>
        </w:rPr>
      </w:pPr>
      <w:bookmarkStart w:id="226" w:name="_Toc286117333"/>
      <w:bookmarkStart w:id="227" w:name="_Toc287342544"/>
      <w:r w:rsidRPr="00397C37">
        <w:rPr>
          <w:rFonts w:ascii="Arial" w:hAnsi="Arial" w:cs="Arial"/>
          <w:color w:val="auto"/>
        </w:rPr>
        <w:t>Municipal manager’s quality certificate</w:t>
      </w:r>
      <w:bookmarkEnd w:id="222"/>
      <w:bookmarkEnd w:id="223"/>
      <w:bookmarkEnd w:id="224"/>
      <w:bookmarkEnd w:id="225"/>
      <w:bookmarkEnd w:id="226"/>
      <w:bookmarkEnd w:id="227"/>
    </w:p>
    <w:p w:rsidR="00670A9E" w:rsidRPr="00670A9E" w:rsidRDefault="00670A9E" w:rsidP="00670A9E">
      <w:pPr>
        <w:rPr>
          <w:rFonts w:ascii="Arial" w:hAnsi="Arial" w:cs="Arial"/>
        </w:rPr>
      </w:pPr>
    </w:p>
    <w:p w:rsidR="00670A9E" w:rsidRPr="00670A9E" w:rsidRDefault="004F17DD" w:rsidP="00670A9E">
      <w:pPr>
        <w:jc w:val="both"/>
        <w:rPr>
          <w:rFonts w:ascii="Arial" w:hAnsi="Arial" w:cs="Arial"/>
        </w:rPr>
      </w:pPr>
      <w:r>
        <w:rPr>
          <w:rFonts w:ascii="Arial" w:hAnsi="Arial" w:cs="Arial"/>
        </w:rPr>
        <w:t>I</w:t>
      </w:r>
      <w:r w:rsidR="00670A9E" w:rsidRPr="00670A9E">
        <w:rPr>
          <w:rFonts w:ascii="Arial" w:hAnsi="Arial" w:cs="Arial"/>
        </w:rPr>
        <w:t xml:space="preserve"> </w:t>
      </w:r>
      <w:r w:rsidR="00B97EF7">
        <w:rPr>
          <w:rFonts w:ascii="Arial" w:hAnsi="Arial" w:cs="Arial"/>
          <w:b/>
        </w:rPr>
        <w:t>P.S. Mkhize</w:t>
      </w:r>
      <w:r w:rsidR="00670A9E" w:rsidRPr="00670A9E">
        <w:rPr>
          <w:rFonts w:ascii="Arial" w:hAnsi="Arial" w:cs="Arial"/>
        </w:rPr>
        <w:t xml:space="preserve">, municipal manager of </w:t>
      </w:r>
      <w:proofErr w:type="spellStart"/>
      <w:r w:rsidR="002968BB">
        <w:rPr>
          <w:rFonts w:ascii="Arial" w:hAnsi="Arial" w:cs="Arial"/>
          <w:b/>
        </w:rPr>
        <w:t>Inkosi</w:t>
      </w:r>
      <w:proofErr w:type="spellEnd"/>
      <w:r w:rsidR="002968BB">
        <w:rPr>
          <w:rFonts w:ascii="Arial" w:hAnsi="Arial" w:cs="Arial"/>
          <w:b/>
        </w:rPr>
        <w:t xml:space="preserve"> Langalibalele</w:t>
      </w:r>
      <w:r w:rsidR="00E9594A">
        <w:rPr>
          <w:rFonts w:ascii="Arial" w:hAnsi="Arial" w:cs="Arial"/>
          <w:b/>
        </w:rPr>
        <w:t xml:space="preserve"> Municipality</w:t>
      </w:r>
      <w:r w:rsidR="00670A9E" w:rsidRPr="00670A9E">
        <w:rPr>
          <w:rFonts w:ascii="Arial" w:hAnsi="Arial" w:cs="Arial"/>
        </w:rPr>
        <w:t xml:space="preserve">, hereby certify that the annual budget and supporting documentation have been prepared in accordance with the Municipal Finance Management Act and the regulations made under the Act, and that the annual budget and supporting documents are consistent with the Integrated Development Plan of the municipality. </w:t>
      </w:r>
    </w:p>
    <w:p w:rsidR="00670A9E" w:rsidRPr="00670A9E" w:rsidRDefault="00670A9E" w:rsidP="00670A9E">
      <w:pPr>
        <w:rPr>
          <w:rFonts w:ascii="Arial" w:hAnsi="Arial" w:cs="Arial"/>
        </w:rPr>
      </w:pPr>
    </w:p>
    <w:p w:rsidR="00670A9E" w:rsidRPr="004454A3" w:rsidRDefault="004454A3" w:rsidP="00670A9E">
      <w:pPr>
        <w:rPr>
          <w:rFonts w:ascii="Arial" w:hAnsi="Arial" w:cs="Arial"/>
          <w:b/>
        </w:rPr>
      </w:pPr>
      <w:r>
        <w:rPr>
          <w:rFonts w:ascii="Arial" w:hAnsi="Arial" w:cs="Arial"/>
        </w:rPr>
        <w:t>Print Name</w:t>
      </w:r>
      <w:r>
        <w:rPr>
          <w:rFonts w:ascii="Arial" w:hAnsi="Arial" w:cs="Arial"/>
        </w:rPr>
        <w:tab/>
      </w:r>
      <w:r>
        <w:rPr>
          <w:rFonts w:ascii="Arial" w:hAnsi="Arial" w:cs="Arial"/>
          <w:b/>
        </w:rPr>
        <w:t>Mr. PS Mkhize</w:t>
      </w:r>
    </w:p>
    <w:p w:rsidR="00670A9E" w:rsidRPr="00E9594A" w:rsidRDefault="00670A9E" w:rsidP="00670A9E">
      <w:pPr>
        <w:rPr>
          <w:rFonts w:ascii="Arial" w:hAnsi="Arial" w:cs="Arial"/>
          <w:b/>
        </w:rPr>
      </w:pPr>
      <w:r w:rsidRPr="00670A9E">
        <w:rPr>
          <w:rFonts w:ascii="Arial" w:hAnsi="Arial" w:cs="Arial"/>
        </w:rPr>
        <w:t xml:space="preserve">Municipal manager of </w:t>
      </w:r>
      <w:proofErr w:type="spellStart"/>
      <w:r w:rsidR="002968BB">
        <w:rPr>
          <w:rFonts w:ascii="Arial" w:hAnsi="Arial" w:cs="Arial"/>
          <w:b/>
        </w:rPr>
        <w:t>Inkosi</w:t>
      </w:r>
      <w:proofErr w:type="spellEnd"/>
      <w:r w:rsidR="002968BB">
        <w:rPr>
          <w:rFonts w:ascii="Arial" w:hAnsi="Arial" w:cs="Arial"/>
          <w:b/>
        </w:rPr>
        <w:t xml:space="preserve"> Langalibalele</w:t>
      </w:r>
      <w:r w:rsidR="004F17DD">
        <w:rPr>
          <w:rFonts w:ascii="Arial" w:hAnsi="Arial" w:cs="Arial"/>
          <w:b/>
        </w:rPr>
        <w:t xml:space="preserve"> Municipality (KZN237</w:t>
      </w:r>
      <w:r w:rsidR="00E9594A">
        <w:rPr>
          <w:rFonts w:ascii="Arial" w:hAnsi="Arial" w:cs="Arial"/>
          <w:b/>
        </w:rPr>
        <w:t>)</w:t>
      </w:r>
    </w:p>
    <w:p w:rsidR="00670A9E" w:rsidRPr="00670A9E" w:rsidRDefault="004864BA" w:rsidP="00670A9E">
      <w:pPr>
        <w:rPr>
          <w:rFonts w:ascii="Arial" w:hAnsi="Arial" w:cs="Arial"/>
        </w:rPr>
      </w:pPr>
      <w:r>
        <w:rPr>
          <w:rFonts w:ascii="Arial" w:hAnsi="Arial" w:cs="Arial"/>
        </w:rPr>
        <w:t>Signature</w:t>
      </w:r>
      <w:r>
        <w:rPr>
          <w:rFonts w:ascii="Arial" w:hAnsi="Arial" w:cs="Arial"/>
        </w:rPr>
        <w:tab/>
      </w:r>
      <w:r w:rsidR="00670A9E" w:rsidRPr="00670A9E">
        <w:rPr>
          <w:rFonts w:ascii="Arial" w:hAnsi="Arial" w:cs="Arial"/>
        </w:rPr>
        <w:t>______________</w:t>
      </w:r>
      <w:r>
        <w:rPr>
          <w:rFonts w:ascii="Arial" w:hAnsi="Arial" w:cs="Arial"/>
        </w:rPr>
        <w:t>_______________________________</w:t>
      </w:r>
    </w:p>
    <w:p w:rsidR="00670A9E" w:rsidRDefault="00670A9E" w:rsidP="00670A9E">
      <w:pPr>
        <w:rPr>
          <w:rFonts w:ascii="Arial" w:hAnsi="Arial" w:cs="Arial"/>
        </w:rPr>
      </w:pPr>
      <w:r w:rsidRPr="00670A9E">
        <w:rPr>
          <w:rFonts w:ascii="Arial" w:hAnsi="Arial" w:cs="Arial"/>
        </w:rPr>
        <w:t xml:space="preserve">Date  </w:t>
      </w:r>
      <w:r w:rsidRPr="00670A9E">
        <w:rPr>
          <w:rFonts w:ascii="Arial" w:hAnsi="Arial" w:cs="Arial"/>
        </w:rPr>
        <w:tab/>
      </w:r>
      <w:r w:rsidRPr="00670A9E">
        <w:rPr>
          <w:rFonts w:ascii="Arial" w:hAnsi="Arial" w:cs="Arial"/>
        </w:rPr>
        <w:tab/>
        <w:t>_____________________________</w:t>
      </w:r>
      <w:r w:rsidR="004864BA">
        <w:rPr>
          <w:rFonts w:ascii="Arial" w:hAnsi="Arial" w:cs="Arial"/>
        </w:rPr>
        <w:t>________________</w:t>
      </w:r>
    </w:p>
    <w:p w:rsidR="004864BA" w:rsidRDefault="004864BA" w:rsidP="00670A9E">
      <w:pPr>
        <w:rPr>
          <w:rFonts w:ascii="Arial" w:hAnsi="Arial" w:cs="Arial"/>
        </w:rPr>
      </w:pPr>
    </w:p>
    <w:p w:rsidR="00773DC6" w:rsidRDefault="00773DC6" w:rsidP="00670A9E">
      <w:pPr>
        <w:rPr>
          <w:rFonts w:ascii="Arial" w:hAnsi="Arial" w:cs="Arial"/>
        </w:rPr>
      </w:pPr>
    </w:p>
    <w:p w:rsidR="00773DC6" w:rsidRDefault="00773DC6" w:rsidP="00670A9E">
      <w:pPr>
        <w:rPr>
          <w:rFonts w:ascii="Arial" w:hAnsi="Arial" w:cs="Arial"/>
        </w:rPr>
      </w:pPr>
    </w:p>
    <w:p w:rsidR="004864BA" w:rsidRPr="004454A3" w:rsidRDefault="004454A3" w:rsidP="00670A9E">
      <w:pPr>
        <w:rPr>
          <w:rFonts w:ascii="Arial" w:hAnsi="Arial" w:cs="Arial"/>
          <w:b/>
        </w:rPr>
      </w:pPr>
      <w:r>
        <w:rPr>
          <w:rFonts w:ascii="Arial" w:hAnsi="Arial" w:cs="Arial"/>
        </w:rPr>
        <w:t xml:space="preserve">Print Name </w:t>
      </w:r>
      <w:r>
        <w:rPr>
          <w:rFonts w:ascii="Arial" w:hAnsi="Arial" w:cs="Arial"/>
        </w:rPr>
        <w:tab/>
        <w:t xml:space="preserve"> </w:t>
      </w:r>
      <w:r>
        <w:rPr>
          <w:rFonts w:ascii="Arial" w:hAnsi="Arial" w:cs="Arial"/>
          <w:b/>
        </w:rPr>
        <w:t>Mr. SP Radebe</w:t>
      </w:r>
    </w:p>
    <w:p w:rsidR="004864BA" w:rsidRDefault="004F17DD" w:rsidP="00670A9E">
      <w:pPr>
        <w:rPr>
          <w:rFonts w:ascii="Arial" w:hAnsi="Arial" w:cs="Arial"/>
          <w:b/>
        </w:rPr>
      </w:pPr>
      <w:r>
        <w:rPr>
          <w:rFonts w:ascii="Arial" w:hAnsi="Arial" w:cs="Arial"/>
        </w:rPr>
        <w:t>Chief Financial Officer</w:t>
      </w:r>
      <w:r w:rsidR="004864BA">
        <w:rPr>
          <w:rFonts w:ascii="Arial" w:hAnsi="Arial" w:cs="Arial"/>
        </w:rPr>
        <w:t xml:space="preserve"> of </w:t>
      </w:r>
      <w:proofErr w:type="spellStart"/>
      <w:r>
        <w:rPr>
          <w:rFonts w:ascii="Arial" w:hAnsi="Arial" w:cs="Arial"/>
          <w:b/>
        </w:rPr>
        <w:t>Inkosi</w:t>
      </w:r>
      <w:proofErr w:type="spellEnd"/>
      <w:r>
        <w:rPr>
          <w:rFonts w:ascii="Arial" w:hAnsi="Arial" w:cs="Arial"/>
          <w:b/>
        </w:rPr>
        <w:t xml:space="preserve"> Langalibalele Municipality (KZN237</w:t>
      </w:r>
      <w:r w:rsidR="004864BA">
        <w:rPr>
          <w:rFonts w:ascii="Arial" w:hAnsi="Arial" w:cs="Arial"/>
          <w:b/>
        </w:rPr>
        <w:t>)</w:t>
      </w:r>
    </w:p>
    <w:p w:rsidR="004864BA" w:rsidRDefault="004864BA" w:rsidP="00670A9E">
      <w:pPr>
        <w:rPr>
          <w:rFonts w:ascii="Arial" w:hAnsi="Arial" w:cs="Arial"/>
        </w:rPr>
      </w:pPr>
      <w:r>
        <w:rPr>
          <w:rFonts w:ascii="Arial" w:hAnsi="Arial" w:cs="Arial"/>
        </w:rPr>
        <w:t>Signature</w:t>
      </w:r>
      <w:r>
        <w:rPr>
          <w:rFonts w:ascii="Arial" w:hAnsi="Arial" w:cs="Arial"/>
        </w:rPr>
        <w:tab/>
        <w:t>_____________________________________________</w:t>
      </w:r>
    </w:p>
    <w:p w:rsidR="004864BA" w:rsidRPr="004864BA" w:rsidRDefault="004864BA" w:rsidP="00670A9E">
      <w:pPr>
        <w:rPr>
          <w:rFonts w:ascii="Arial" w:hAnsi="Arial" w:cs="Arial"/>
        </w:rPr>
      </w:pPr>
      <w:r>
        <w:rPr>
          <w:rFonts w:ascii="Arial" w:hAnsi="Arial" w:cs="Arial"/>
        </w:rPr>
        <w:t>Date</w:t>
      </w:r>
      <w:r>
        <w:rPr>
          <w:rFonts w:ascii="Arial" w:hAnsi="Arial" w:cs="Arial"/>
        </w:rPr>
        <w:tab/>
      </w:r>
      <w:r>
        <w:rPr>
          <w:rFonts w:ascii="Arial" w:hAnsi="Arial" w:cs="Arial"/>
        </w:rPr>
        <w:tab/>
        <w:t>_____________________________________________</w:t>
      </w:r>
    </w:p>
    <w:sectPr w:rsidR="004864BA" w:rsidRPr="004864BA" w:rsidSect="00EE7C40">
      <w:footerReference w:type="default" r:id="rId56"/>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E4" w:rsidRDefault="00B513E4" w:rsidP="00AC0578">
      <w:pPr>
        <w:spacing w:after="0" w:line="240" w:lineRule="auto"/>
      </w:pPr>
      <w:r>
        <w:separator/>
      </w:r>
    </w:p>
  </w:endnote>
  <w:endnote w:type="continuationSeparator" w:id="0">
    <w:p w:rsidR="00B513E4" w:rsidRDefault="00B513E4" w:rsidP="00A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rsidP="00154E79">
    <w:pPr>
      <w:pStyle w:val="Footer"/>
      <w:pBdr>
        <w:top w:val="single" w:sz="4" w:space="1" w:color="auto"/>
      </w:pBdr>
      <w:tabs>
        <w:tab w:val="clear" w:pos="4680"/>
        <w:tab w:val="clear" w:pos="9360"/>
        <w:tab w:val="right" w:pos="9356"/>
        <w:tab w:val="right" w:pos="13608"/>
      </w:tabs>
    </w:pPr>
  </w:p>
  <w:p w:rsidR="0082796F" w:rsidRDefault="00827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E319FD" w:rsidP="007001A3">
    <w:pPr>
      <w:pStyle w:val="Footer"/>
      <w:pBdr>
        <w:top w:val="single" w:sz="4" w:space="1" w:color="auto"/>
      </w:pBdr>
      <w:jc w:val="right"/>
    </w:pPr>
    <w:sdt>
      <w:sdtPr>
        <w:id w:val="182830187"/>
        <w:docPartObj>
          <w:docPartGallery w:val="Page Numbers (Bottom of Page)"/>
          <w:docPartUnique/>
        </w:docPartObj>
      </w:sdtPr>
      <w:sdtEnd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0285"/>
      <w:docPartObj>
        <w:docPartGallery w:val="Page Numbers (Bottom of Page)"/>
        <w:docPartUnique/>
      </w:docPartObj>
    </w:sdtPr>
    <w:sdtEndPr/>
    <w:sdtContent>
      <w:p w:rsidR="0082796F" w:rsidRDefault="0082796F" w:rsidP="006921F2">
        <w:pPr>
          <w:pStyle w:val="Footer"/>
          <w:pBdr>
            <w:top w:val="single" w:sz="4" w:space="1" w:color="auto"/>
          </w:pBdr>
          <w:tabs>
            <w:tab w:val="clear" w:pos="4680"/>
            <w:tab w:val="clear" w:pos="9360"/>
            <w:tab w:val="right" w:pos="13608"/>
          </w:tabs>
        </w:pPr>
        <w:r>
          <w:tab/>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rsidP="006921F2">
    <w:pPr>
      <w:pStyle w:val="Footer"/>
      <w:pBdr>
        <w:top w:val="single" w:sz="4" w:space="1" w:color="auto"/>
      </w:pBdr>
      <w:tabs>
        <w:tab w:val="clear" w:pos="4680"/>
        <w:tab w:val="clear" w:pos="9360"/>
        <w:tab w:val="right" w:pos="9356"/>
        <w:tab w:val="right" w:pos="1360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rsidP="006921F2">
    <w:pPr>
      <w:pStyle w:val="Footer"/>
      <w:pBdr>
        <w:top w:val="single" w:sz="4" w:space="1" w:color="auto"/>
      </w:pBdr>
      <w:tabs>
        <w:tab w:val="clear" w:pos="4680"/>
        <w:tab w:val="clear" w:pos="9360"/>
        <w:tab w:val="right" w:pos="9356"/>
        <w:tab w:val="right" w:pos="13608"/>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Pr="00E9594A" w:rsidRDefault="0082796F" w:rsidP="00E959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rsidP="006921F2">
    <w:pPr>
      <w:pStyle w:val="Footer"/>
      <w:pBdr>
        <w:top w:val="single" w:sz="4" w:space="1" w:color="auto"/>
      </w:pBdr>
      <w:tabs>
        <w:tab w:val="clear" w:pos="4680"/>
        <w:tab w:val="clear" w:pos="9360"/>
        <w:tab w:val="right" w:pos="9356"/>
        <w:tab w:val="right" w:pos="136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E4" w:rsidRDefault="00B513E4" w:rsidP="00AC0578">
      <w:pPr>
        <w:spacing w:after="0" w:line="240" w:lineRule="auto"/>
      </w:pPr>
      <w:r>
        <w:separator/>
      </w:r>
    </w:p>
  </w:footnote>
  <w:footnote w:type="continuationSeparator" w:id="0">
    <w:p w:rsidR="00B513E4" w:rsidRDefault="00B513E4" w:rsidP="00AC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rsidP="00281E23">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6F" w:rsidRDefault="0082796F" w:rsidP="007001A3">
    <w:pPr>
      <w:pStyle w:val="Header"/>
    </w:pP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2" w15:restartNumberingAfterBreak="0">
    <w:nsid w:val="0000000D"/>
    <w:multiLevelType w:val="multilevel"/>
    <w:tmpl w:val="0000000D"/>
    <w:name w:val="WW8Num1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Wingdings" w:hAnsi="Wingdings" w:cs="Wingdings"/>
      </w:rPr>
    </w:lvl>
  </w:abstractNum>
  <w:abstractNum w:abstractNumId="4"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0B41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D1CB5"/>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13751A6D"/>
    <w:multiLevelType w:val="hybridMultilevel"/>
    <w:tmpl w:val="4B86CE6E"/>
    <w:lvl w:ilvl="0" w:tplc="959889F0">
      <w:start w:val="3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1F7D06"/>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7EB2064"/>
    <w:multiLevelType w:val="multilevel"/>
    <w:tmpl w:val="5B1EF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0A37E0"/>
    <w:multiLevelType w:val="hybridMultilevel"/>
    <w:tmpl w:val="97A07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37A8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B5270"/>
    <w:multiLevelType w:val="hybridMultilevel"/>
    <w:tmpl w:val="C40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411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659F6"/>
    <w:multiLevelType w:val="hybridMultilevel"/>
    <w:tmpl w:val="EE34EB06"/>
    <w:lvl w:ilvl="0" w:tplc="08090001">
      <w:start w:val="1"/>
      <w:numFmt w:val="bullet"/>
      <w:lvlText w:val=""/>
      <w:lvlJc w:val="left"/>
      <w:pPr>
        <w:tabs>
          <w:tab w:val="num" w:pos="720"/>
        </w:tabs>
        <w:ind w:left="720" w:hanging="360"/>
      </w:pPr>
      <w:rPr>
        <w:rFonts w:ascii="Symbol" w:hAnsi="Symbol"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4020BF4"/>
    <w:multiLevelType w:val="hybridMultilevel"/>
    <w:tmpl w:val="BB50A3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302C64"/>
    <w:multiLevelType w:val="hybridMultilevel"/>
    <w:tmpl w:val="8638A2BC"/>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1259BF"/>
    <w:multiLevelType w:val="hybridMultilevel"/>
    <w:tmpl w:val="5C8CE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BD4CAE"/>
    <w:multiLevelType w:val="hybridMultilevel"/>
    <w:tmpl w:val="CFF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454891"/>
    <w:multiLevelType w:val="hybridMultilevel"/>
    <w:tmpl w:val="13E0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64910"/>
    <w:multiLevelType w:val="hybridMultilevel"/>
    <w:tmpl w:val="447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63C6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1C656A"/>
    <w:multiLevelType w:val="hybridMultilevel"/>
    <w:tmpl w:val="DFAA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8071C"/>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5994FFC"/>
    <w:multiLevelType w:val="hybridMultilevel"/>
    <w:tmpl w:val="104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7A3A"/>
    <w:multiLevelType w:val="hybridMultilevel"/>
    <w:tmpl w:val="6016864A"/>
    <w:lvl w:ilvl="0" w:tplc="FD3C87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4177B"/>
    <w:multiLevelType w:val="hybridMultilevel"/>
    <w:tmpl w:val="A948A27C"/>
    <w:lvl w:ilvl="0" w:tplc="0824C4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9"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3"/>
  </w:num>
  <w:num w:numId="2">
    <w:abstractNumId w:val="0"/>
  </w:num>
  <w:num w:numId="3">
    <w:abstractNumId w:val="21"/>
  </w:num>
  <w:num w:numId="4">
    <w:abstractNumId w:val="23"/>
  </w:num>
  <w:num w:numId="5">
    <w:abstractNumId w:val="6"/>
  </w:num>
  <w:num w:numId="6">
    <w:abstractNumId w:val="20"/>
  </w:num>
  <w:num w:numId="7">
    <w:abstractNumId w:val="18"/>
  </w:num>
  <w:num w:numId="8">
    <w:abstractNumId w:val="34"/>
  </w:num>
  <w:num w:numId="9">
    <w:abstractNumId w:val="38"/>
  </w:num>
  <w:num w:numId="10">
    <w:abstractNumId w:val="35"/>
  </w:num>
  <w:num w:numId="11">
    <w:abstractNumId w:val="39"/>
  </w:num>
  <w:num w:numId="12">
    <w:abstractNumId w:val="5"/>
  </w:num>
  <w:num w:numId="13">
    <w:abstractNumId w:val="10"/>
  </w:num>
  <w:num w:numId="14">
    <w:abstractNumId w:val="27"/>
  </w:num>
  <w:num w:numId="15">
    <w:abstractNumId w:val="29"/>
  </w:num>
  <w:num w:numId="16">
    <w:abstractNumId w:val="31"/>
  </w:num>
  <w:num w:numId="17">
    <w:abstractNumId w:val="32"/>
  </w:num>
  <w:num w:numId="18">
    <w:abstractNumId w:val="16"/>
  </w:num>
  <w:num w:numId="19">
    <w:abstractNumId w:val="9"/>
  </w:num>
  <w:num w:numId="20">
    <w:abstractNumId w:val="8"/>
  </w:num>
  <w:num w:numId="21">
    <w:abstractNumId w:val="26"/>
  </w:num>
  <w:num w:numId="22">
    <w:abstractNumId w:val="19"/>
  </w:num>
  <w:num w:numId="23">
    <w:abstractNumId w:val="7"/>
  </w:num>
  <w:num w:numId="24">
    <w:abstractNumId w:val="15"/>
  </w:num>
  <w:num w:numId="25">
    <w:abstractNumId w:val="17"/>
  </w:num>
  <w:num w:numId="26">
    <w:abstractNumId w:val="30"/>
  </w:num>
  <w:num w:numId="27">
    <w:abstractNumId w:val="14"/>
  </w:num>
  <w:num w:numId="28">
    <w:abstractNumId w:val="28"/>
  </w:num>
  <w:num w:numId="29">
    <w:abstractNumId w:val="37"/>
  </w:num>
  <w:num w:numId="30">
    <w:abstractNumId w:val="36"/>
  </w:num>
  <w:num w:numId="31">
    <w:abstractNumId w:val="24"/>
  </w:num>
  <w:num w:numId="32">
    <w:abstractNumId w:val="12"/>
  </w:num>
  <w:num w:numId="33">
    <w:abstractNumId w:val="33"/>
  </w:num>
  <w:num w:numId="34">
    <w:abstractNumId w:val="25"/>
  </w:num>
  <w:num w:numId="35">
    <w:abstractNumId w:val="39"/>
  </w:num>
  <w:num w:numId="36">
    <w:abstractNumId w:val="22"/>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8D"/>
    <w:rsid w:val="00000348"/>
    <w:rsid w:val="000016C9"/>
    <w:rsid w:val="00003619"/>
    <w:rsid w:val="0000769A"/>
    <w:rsid w:val="000078AD"/>
    <w:rsid w:val="0001437F"/>
    <w:rsid w:val="00017C14"/>
    <w:rsid w:val="0003199A"/>
    <w:rsid w:val="00035335"/>
    <w:rsid w:val="00036626"/>
    <w:rsid w:val="00041063"/>
    <w:rsid w:val="000428D0"/>
    <w:rsid w:val="00046E64"/>
    <w:rsid w:val="000505DC"/>
    <w:rsid w:val="00051307"/>
    <w:rsid w:val="00051B32"/>
    <w:rsid w:val="000571B3"/>
    <w:rsid w:val="00066615"/>
    <w:rsid w:val="00067CE1"/>
    <w:rsid w:val="00070461"/>
    <w:rsid w:val="00076BC0"/>
    <w:rsid w:val="000774D6"/>
    <w:rsid w:val="00080079"/>
    <w:rsid w:val="00087577"/>
    <w:rsid w:val="000915D6"/>
    <w:rsid w:val="000A1167"/>
    <w:rsid w:val="000A48A7"/>
    <w:rsid w:val="000A512A"/>
    <w:rsid w:val="000A5B44"/>
    <w:rsid w:val="000A6A6F"/>
    <w:rsid w:val="000B021C"/>
    <w:rsid w:val="000B3DE6"/>
    <w:rsid w:val="000B6AC1"/>
    <w:rsid w:val="000B723B"/>
    <w:rsid w:val="000C3921"/>
    <w:rsid w:val="000C3DBD"/>
    <w:rsid w:val="000C52DD"/>
    <w:rsid w:val="000D10E1"/>
    <w:rsid w:val="000E1117"/>
    <w:rsid w:val="000E2D51"/>
    <w:rsid w:val="000E381F"/>
    <w:rsid w:val="000F08D1"/>
    <w:rsid w:val="000F15FA"/>
    <w:rsid w:val="000F267D"/>
    <w:rsid w:val="00107024"/>
    <w:rsid w:val="00112F8B"/>
    <w:rsid w:val="00113DB7"/>
    <w:rsid w:val="00113EA6"/>
    <w:rsid w:val="001143B3"/>
    <w:rsid w:val="00114CBD"/>
    <w:rsid w:val="0011704A"/>
    <w:rsid w:val="00120A4C"/>
    <w:rsid w:val="00122745"/>
    <w:rsid w:val="00122829"/>
    <w:rsid w:val="001257C8"/>
    <w:rsid w:val="001268DE"/>
    <w:rsid w:val="00126FE2"/>
    <w:rsid w:val="001275DB"/>
    <w:rsid w:val="0014353A"/>
    <w:rsid w:val="00154E79"/>
    <w:rsid w:val="00154EC8"/>
    <w:rsid w:val="001574F5"/>
    <w:rsid w:val="001659F9"/>
    <w:rsid w:val="00166195"/>
    <w:rsid w:val="00172EDC"/>
    <w:rsid w:val="00173DD1"/>
    <w:rsid w:val="00184BFD"/>
    <w:rsid w:val="0019235A"/>
    <w:rsid w:val="0019262A"/>
    <w:rsid w:val="0019494D"/>
    <w:rsid w:val="001A2F52"/>
    <w:rsid w:val="001A4CB2"/>
    <w:rsid w:val="001A5BA6"/>
    <w:rsid w:val="001B235E"/>
    <w:rsid w:val="001B247C"/>
    <w:rsid w:val="001B343C"/>
    <w:rsid w:val="001B6DFF"/>
    <w:rsid w:val="001B75E4"/>
    <w:rsid w:val="001C0EB7"/>
    <w:rsid w:val="001C22D7"/>
    <w:rsid w:val="001C3AB5"/>
    <w:rsid w:val="001C49BB"/>
    <w:rsid w:val="001C6C5F"/>
    <w:rsid w:val="001D1A1C"/>
    <w:rsid w:val="001D1B06"/>
    <w:rsid w:val="001D25FC"/>
    <w:rsid w:val="001E74D2"/>
    <w:rsid w:val="001F1511"/>
    <w:rsid w:val="001F421B"/>
    <w:rsid w:val="001F56D1"/>
    <w:rsid w:val="002000D2"/>
    <w:rsid w:val="0020194D"/>
    <w:rsid w:val="0020488F"/>
    <w:rsid w:val="00204C89"/>
    <w:rsid w:val="00206DC6"/>
    <w:rsid w:val="00207296"/>
    <w:rsid w:val="00210698"/>
    <w:rsid w:val="00211687"/>
    <w:rsid w:val="0021394A"/>
    <w:rsid w:val="002152F6"/>
    <w:rsid w:val="002216E1"/>
    <w:rsid w:val="002242DE"/>
    <w:rsid w:val="00224BD1"/>
    <w:rsid w:val="00224F4B"/>
    <w:rsid w:val="00225A0A"/>
    <w:rsid w:val="00234668"/>
    <w:rsid w:val="00236943"/>
    <w:rsid w:val="00237F98"/>
    <w:rsid w:val="002417EA"/>
    <w:rsid w:val="00241D9D"/>
    <w:rsid w:val="00242289"/>
    <w:rsid w:val="002424D3"/>
    <w:rsid w:val="00244316"/>
    <w:rsid w:val="00245051"/>
    <w:rsid w:val="002559FB"/>
    <w:rsid w:val="002628AE"/>
    <w:rsid w:val="002646EF"/>
    <w:rsid w:val="0027216A"/>
    <w:rsid w:val="00274646"/>
    <w:rsid w:val="00281E23"/>
    <w:rsid w:val="00282173"/>
    <w:rsid w:val="0028366E"/>
    <w:rsid w:val="00285116"/>
    <w:rsid w:val="00285F40"/>
    <w:rsid w:val="0028753C"/>
    <w:rsid w:val="002910E1"/>
    <w:rsid w:val="002933E1"/>
    <w:rsid w:val="002968BB"/>
    <w:rsid w:val="002A0628"/>
    <w:rsid w:val="002A09B1"/>
    <w:rsid w:val="002A6881"/>
    <w:rsid w:val="002A7E3B"/>
    <w:rsid w:val="002B49DF"/>
    <w:rsid w:val="002B4D71"/>
    <w:rsid w:val="002B7595"/>
    <w:rsid w:val="002C3EF9"/>
    <w:rsid w:val="002C6A1B"/>
    <w:rsid w:val="002C7A5D"/>
    <w:rsid w:val="002E0E0C"/>
    <w:rsid w:val="002E1D9D"/>
    <w:rsid w:val="002E2D9B"/>
    <w:rsid w:val="002E3675"/>
    <w:rsid w:val="002E3FB1"/>
    <w:rsid w:val="002E520E"/>
    <w:rsid w:val="002F77CC"/>
    <w:rsid w:val="00302DF3"/>
    <w:rsid w:val="00303157"/>
    <w:rsid w:val="00303C7F"/>
    <w:rsid w:val="003073A3"/>
    <w:rsid w:val="00310BA0"/>
    <w:rsid w:val="0031222F"/>
    <w:rsid w:val="00321A19"/>
    <w:rsid w:val="00322D5D"/>
    <w:rsid w:val="00323B35"/>
    <w:rsid w:val="00326473"/>
    <w:rsid w:val="00327633"/>
    <w:rsid w:val="0033043D"/>
    <w:rsid w:val="00333633"/>
    <w:rsid w:val="003428DA"/>
    <w:rsid w:val="00342BAD"/>
    <w:rsid w:val="00342ED1"/>
    <w:rsid w:val="0034385A"/>
    <w:rsid w:val="003449FD"/>
    <w:rsid w:val="00350E30"/>
    <w:rsid w:val="00353F34"/>
    <w:rsid w:val="003540F0"/>
    <w:rsid w:val="00360552"/>
    <w:rsid w:val="003627FB"/>
    <w:rsid w:val="0036378B"/>
    <w:rsid w:val="00367E21"/>
    <w:rsid w:val="003728D1"/>
    <w:rsid w:val="003742A7"/>
    <w:rsid w:val="00375496"/>
    <w:rsid w:val="00381D4D"/>
    <w:rsid w:val="00382F6C"/>
    <w:rsid w:val="0038490D"/>
    <w:rsid w:val="00391593"/>
    <w:rsid w:val="00393CC9"/>
    <w:rsid w:val="00397C37"/>
    <w:rsid w:val="003A0B82"/>
    <w:rsid w:val="003A0D97"/>
    <w:rsid w:val="003A73E1"/>
    <w:rsid w:val="003A7CF8"/>
    <w:rsid w:val="003B5499"/>
    <w:rsid w:val="003C3C9C"/>
    <w:rsid w:val="003C752B"/>
    <w:rsid w:val="003D0072"/>
    <w:rsid w:val="003D360D"/>
    <w:rsid w:val="003D5ED1"/>
    <w:rsid w:val="003E133E"/>
    <w:rsid w:val="003E16EC"/>
    <w:rsid w:val="003E186A"/>
    <w:rsid w:val="003E1CBD"/>
    <w:rsid w:val="003E3CA4"/>
    <w:rsid w:val="003E78C1"/>
    <w:rsid w:val="003F1417"/>
    <w:rsid w:val="003F7B53"/>
    <w:rsid w:val="00401783"/>
    <w:rsid w:val="004025C8"/>
    <w:rsid w:val="0040270B"/>
    <w:rsid w:val="00404677"/>
    <w:rsid w:val="00407E30"/>
    <w:rsid w:val="00421378"/>
    <w:rsid w:val="00424CE7"/>
    <w:rsid w:val="004258F0"/>
    <w:rsid w:val="00427C70"/>
    <w:rsid w:val="004306D0"/>
    <w:rsid w:val="00431595"/>
    <w:rsid w:val="00440387"/>
    <w:rsid w:val="004454A3"/>
    <w:rsid w:val="00445C01"/>
    <w:rsid w:val="004471FA"/>
    <w:rsid w:val="0045067D"/>
    <w:rsid w:val="004537A6"/>
    <w:rsid w:val="0045685A"/>
    <w:rsid w:val="00456AEF"/>
    <w:rsid w:val="00467B1B"/>
    <w:rsid w:val="00470799"/>
    <w:rsid w:val="00470B8A"/>
    <w:rsid w:val="00476586"/>
    <w:rsid w:val="0048073D"/>
    <w:rsid w:val="004822A1"/>
    <w:rsid w:val="00484931"/>
    <w:rsid w:val="00484EE2"/>
    <w:rsid w:val="004864BA"/>
    <w:rsid w:val="00487DE8"/>
    <w:rsid w:val="00491100"/>
    <w:rsid w:val="00495C54"/>
    <w:rsid w:val="004A0DF9"/>
    <w:rsid w:val="004A1AB7"/>
    <w:rsid w:val="004A5406"/>
    <w:rsid w:val="004B1E6C"/>
    <w:rsid w:val="004B211F"/>
    <w:rsid w:val="004B2897"/>
    <w:rsid w:val="004C0EB0"/>
    <w:rsid w:val="004C254E"/>
    <w:rsid w:val="004C3E75"/>
    <w:rsid w:val="004C4EA1"/>
    <w:rsid w:val="004C7CAE"/>
    <w:rsid w:val="004D06A3"/>
    <w:rsid w:val="004D3A32"/>
    <w:rsid w:val="004E0C9C"/>
    <w:rsid w:val="004E157C"/>
    <w:rsid w:val="004E564B"/>
    <w:rsid w:val="004F0644"/>
    <w:rsid w:val="004F17DD"/>
    <w:rsid w:val="004F2F26"/>
    <w:rsid w:val="004F3DE3"/>
    <w:rsid w:val="004F72B9"/>
    <w:rsid w:val="004F7739"/>
    <w:rsid w:val="00500027"/>
    <w:rsid w:val="00500DEB"/>
    <w:rsid w:val="0050628A"/>
    <w:rsid w:val="00506333"/>
    <w:rsid w:val="00514DAB"/>
    <w:rsid w:val="00516524"/>
    <w:rsid w:val="00520B2A"/>
    <w:rsid w:val="00521CCC"/>
    <w:rsid w:val="005242D8"/>
    <w:rsid w:val="00525D11"/>
    <w:rsid w:val="005264E8"/>
    <w:rsid w:val="00527464"/>
    <w:rsid w:val="0053121B"/>
    <w:rsid w:val="00531614"/>
    <w:rsid w:val="0053223C"/>
    <w:rsid w:val="00532C11"/>
    <w:rsid w:val="00535807"/>
    <w:rsid w:val="00537CA2"/>
    <w:rsid w:val="00537CD8"/>
    <w:rsid w:val="00540685"/>
    <w:rsid w:val="00543267"/>
    <w:rsid w:val="00544739"/>
    <w:rsid w:val="00544F39"/>
    <w:rsid w:val="00546504"/>
    <w:rsid w:val="00547004"/>
    <w:rsid w:val="005638A1"/>
    <w:rsid w:val="00567930"/>
    <w:rsid w:val="00570C09"/>
    <w:rsid w:val="00577EE5"/>
    <w:rsid w:val="005801C9"/>
    <w:rsid w:val="00581CBA"/>
    <w:rsid w:val="00582281"/>
    <w:rsid w:val="005900D2"/>
    <w:rsid w:val="005A0A2D"/>
    <w:rsid w:val="005A2D3E"/>
    <w:rsid w:val="005A4E7D"/>
    <w:rsid w:val="005B12A6"/>
    <w:rsid w:val="005B1AE4"/>
    <w:rsid w:val="005B4DA8"/>
    <w:rsid w:val="005B615C"/>
    <w:rsid w:val="005B7D94"/>
    <w:rsid w:val="005C3763"/>
    <w:rsid w:val="005D6F98"/>
    <w:rsid w:val="005E356F"/>
    <w:rsid w:val="005F21E0"/>
    <w:rsid w:val="005F7542"/>
    <w:rsid w:val="00601CA4"/>
    <w:rsid w:val="006049C1"/>
    <w:rsid w:val="0061021B"/>
    <w:rsid w:val="006104C9"/>
    <w:rsid w:val="00612A8B"/>
    <w:rsid w:val="00614638"/>
    <w:rsid w:val="00617341"/>
    <w:rsid w:val="00622F82"/>
    <w:rsid w:val="006262FB"/>
    <w:rsid w:val="006264AC"/>
    <w:rsid w:val="00626F0D"/>
    <w:rsid w:val="0063023C"/>
    <w:rsid w:val="00631308"/>
    <w:rsid w:val="00633724"/>
    <w:rsid w:val="00633B01"/>
    <w:rsid w:val="00634DB2"/>
    <w:rsid w:val="006353A2"/>
    <w:rsid w:val="00635980"/>
    <w:rsid w:val="0064055F"/>
    <w:rsid w:val="006413A9"/>
    <w:rsid w:val="00642F6F"/>
    <w:rsid w:val="00645098"/>
    <w:rsid w:val="00645B13"/>
    <w:rsid w:val="00646A54"/>
    <w:rsid w:val="00653A3E"/>
    <w:rsid w:val="00654A78"/>
    <w:rsid w:val="0065590C"/>
    <w:rsid w:val="0065674C"/>
    <w:rsid w:val="00656926"/>
    <w:rsid w:val="00656BB1"/>
    <w:rsid w:val="006604D9"/>
    <w:rsid w:val="00665936"/>
    <w:rsid w:val="00670A9E"/>
    <w:rsid w:val="006712BA"/>
    <w:rsid w:val="00672E30"/>
    <w:rsid w:val="00674314"/>
    <w:rsid w:val="0067457F"/>
    <w:rsid w:val="00686719"/>
    <w:rsid w:val="00691E9A"/>
    <w:rsid w:val="006921F2"/>
    <w:rsid w:val="00695063"/>
    <w:rsid w:val="00696DFA"/>
    <w:rsid w:val="006A4BA0"/>
    <w:rsid w:val="006A4C24"/>
    <w:rsid w:val="006A6052"/>
    <w:rsid w:val="006A60E7"/>
    <w:rsid w:val="006A78D7"/>
    <w:rsid w:val="006B211E"/>
    <w:rsid w:val="006B5D63"/>
    <w:rsid w:val="006D08BF"/>
    <w:rsid w:val="006D34F8"/>
    <w:rsid w:val="006D5480"/>
    <w:rsid w:val="006D559A"/>
    <w:rsid w:val="006F086E"/>
    <w:rsid w:val="006F3DB0"/>
    <w:rsid w:val="006F59CD"/>
    <w:rsid w:val="007001A3"/>
    <w:rsid w:val="007033A4"/>
    <w:rsid w:val="007043B6"/>
    <w:rsid w:val="007067E8"/>
    <w:rsid w:val="007103F0"/>
    <w:rsid w:val="00710E45"/>
    <w:rsid w:val="00711A38"/>
    <w:rsid w:val="00711BF4"/>
    <w:rsid w:val="00713D41"/>
    <w:rsid w:val="00715386"/>
    <w:rsid w:val="00720EE8"/>
    <w:rsid w:val="007269ED"/>
    <w:rsid w:val="00732554"/>
    <w:rsid w:val="00743765"/>
    <w:rsid w:val="0074530F"/>
    <w:rsid w:val="007453C0"/>
    <w:rsid w:val="00745B6A"/>
    <w:rsid w:val="00745FE4"/>
    <w:rsid w:val="00750F06"/>
    <w:rsid w:val="007525C8"/>
    <w:rsid w:val="00756614"/>
    <w:rsid w:val="00761DEE"/>
    <w:rsid w:val="00767B51"/>
    <w:rsid w:val="00771CAB"/>
    <w:rsid w:val="00773DC6"/>
    <w:rsid w:val="00776217"/>
    <w:rsid w:val="00783675"/>
    <w:rsid w:val="00783848"/>
    <w:rsid w:val="007842EC"/>
    <w:rsid w:val="0079272C"/>
    <w:rsid w:val="00793A46"/>
    <w:rsid w:val="00793B37"/>
    <w:rsid w:val="00795575"/>
    <w:rsid w:val="0079627E"/>
    <w:rsid w:val="007A066C"/>
    <w:rsid w:val="007A5EFD"/>
    <w:rsid w:val="007A7E24"/>
    <w:rsid w:val="007B6742"/>
    <w:rsid w:val="007B7944"/>
    <w:rsid w:val="007B7B00"/>
    <w:rsid w:val="007C2D7D"/>
    <w:rsid w:val="007C3588"/>
    <w:rsid w:val="007C3841"/>
    <w:rsid w:val="007C55A5"/>
    <w:rsid w:val="007D4CF2"/>
    <w:rsid w:val="007D5711"/>
    <w:rsid w:val="007E1D1F"/>
    <w:rsid w:val="007E5557"/>
    <w:rsid w:val="007F1C14"/>
    <w:rsid w:val="007F1F91"/>
    <w:rsid w:val="007F2430"/>
    <w:rsid w:val="007F2FD2"/>
    <w:rsid w:val="007F722D"/>
    <w:rsid w:val="008011C4"/>
    <w:rsid w:val="00804E6D"/>
    <w:rsid w:val="00807EC0"/>
    <w:rsid w:val="008201D9"/>
    <w:rsid w:val="0082464B"/>
    <w:rsid w:val="00825721"/>
    <w:rsid w:val="00826C8C"/>
    <w:rsid w:val="0082796F"/>
    <w:rsid w:val="00830756"/>
    <w:rsid w:val="0083224D"/>
    <w:rsid w:val="00832CDB"/>
    <w:rsid w:val="008339A5"/>
    <w:rsid w:val="00835068"/>
    <w:rsid w:val="00842794"/>
    <w:rsid w:val="00842C4F"/>
    <w:rsid w:val="008443CF"/>
    <w:rsid w:val="0084642C"/>
    <w:rsid w:val="00846D62"/>
    <w:rsid w:val="00850660"/>
    <w:rsid w:val="00852CCB"/>
    <w:rsid w:val="00855417"/>
    <w:rsid w:val="00857BF6"/>
    <w:rsid w:val="008606D5"/>
    <w:rsid w:val="0086405A"/>
    <w:rsid w:val="00865922"/>
    <w:rsid w:val="00873783"/>
    <w:rsid w:val="00875E3F"/>
    <w:rsid w:val="00881427"/>
    <w:rsid w:val="0088191B"/>
    <w:rsid w:val="00881DAB"/>
    <w:rsid w:val="00883A78"/>
    <w:rsid w:val="00886B84"/>
    <w:rsid w:val="00892BE3"/>
    <w:rsid w:val="00892BF1"/>
    <w:rsid w:val="00894E09"/>
    <w:rsid w:val="008956C3"/>
    <w:rsid w:val="00895C50"/>
    <w:rsid w:val="008A214B"/>
    <w:rsid w:val="008A4E04"/>
    <w:rsid w:val="008A4F54"/>
    <w:rsid w:val="008A7A20"/>
    <w:rsid w:val="008B6169"/>
    <w:rsid w:val="008B6CA2"/>
    <w:rsid w:val="008B7747"/>
    <w:rsid w:val="008C1730"/>
    <w:rsid w:val="008D2923"/>
    <w:rsid w:val="008D3A35"/>
    <w:rsid w:val="008D4DF0"/>
    <w:rsid w:val="008D6BA7"/>
    <w:rsid w:val="008D741A"/>
    <w:rsid w:val="008E4B71"/>
    <w:rsid w:val="008E575B"/>
    <w:rsid w:val="008F15FF"/>
    <w:rsid w:val="008F2BA9"/>
    <w:rsid w:val="008F2F44"/>
    <w:rsid w:val="008F5526"/>
    <w:rsid w:val="008F62C6"/>
    <w:rsid w:val="008F7F70"/>
    <w:rsid w:val="00901B29"/>
    <w:rsid w:val="00904C95"/>
    <w:rsid w:val="0090530F"/>
    <w:rsid w:val="00911138"/>
    <w:rsid w:val="00912E4E"/>
    <w:rsid w:val="00922792"/>
    <w:rsid w:val="00923B60"/>
    <w:rsid w:val="009260D6"/>
    <w:rsid w:val="00934C79"/>
    <w:rsid w:val="00937DF1"/>
    <w:rsid w:val="009415D5"/>
    <w:rsid w:val="00943970"/>
    <w:rsid w:val="0094595A"/>
    <w:rsid w:val="00946012"/>
    <w:rsid w:val="00951EB5"/>
    <w:rsid w:val="00953F07"/>
    <w:rsid w:val="00954110"/>
    <w:rsid w:val="009549FB"/>
    <w:rsid w:val="00956A70"/>
    <w:rsid w:val="00961003"/>
    <w:rsid w:val="00962C25"/>
    <w:rsid w:val="00963B9A"/>
    <w:rsid w:val="00963C47"/>
    <w:rsid w:val="00964099"/>
    <w:rsid w:val="00976973"/>
    <w:rsid w:val="00977183"/>
    <w:rsid w:val="00980E3A"/>
    <w:rsid w:val="0098448D"/>
    <w:rsid w:val="009844D3"/>
    <w:rsid w:val="00984F3C"/>
    <w:rsid w:val="0098723D"/>
    <w:rsid w:val="00992DE5"/>
    <w:rsid w:val="00993D4D"/>
    <w:rsid w:val="009A6070"/>
    <w:rsid w:val="009A7648"/>
    <w:rsid w:val="009B31E6"/>
    <w:rsid w:val="009B4091"/>
    <w:rsid w:val="009C0219"/>
    <w:rsid w:val="009C336A"/>
    <w:rsid w:val="009C4927"/>
    <w:rsid w:val="009C5C9C"/>
    <w:rsid w:val="009C60DD"/>
    <w:rsid w:val="009D077A"/>
    <w:rsid w:val="009D4C59"/>
    <w:rsid w:val="009E20DE"/>
    <w:rsid w:val="009E3665"/>
    <w:rsid w:val="009E42F7"/>
    <w:rsid w:val="009E4551"/>
    <w:rsid w:val="009E4E0F"/>
    <w:rsid w:val="009E7793"/>
    <w:rsid w:val="009F1B1B"/>
    <w:rsid w:val="009F6B4A"/>
    <w:rsid w:val="00A054E2"/>
    <w:rsid w:val="00A0652F"/>
    <w:rsid w:val="00A10411"/>
    <w:rsid w:val="00A17476"/>
    <w:rsid w:val="00A20407"/>
    <w:rsid w:val="00A22A2C"/>
    <w:rsid w:val="00A22EB1"/>
    <w:rsid w:val="00A313AB"/>
    <w:rsid w:val="00A318BD"/>
    <w:rsid w:val="00A3673C"/>
    <w:rsid w:val="00A43CAF"/>
    <w:rsid w:val="00A50ECD"/>
    <w:rsid w:val="00A52161"/>
    <w:rsid w:val="00A54DF9"/>
    <w:rsid w:val="00A57BC1"/>
    <w:rsid w:val="00A61550"/>
    <w:rsid w:val="00A6440B"/>
    <w:rsid w:val="00A651BC"/>
    <w:rsid w:val="00A71165"/>
    <w:rsid w:val="00A71D99"/>
    <w:rsid w:val="00A73F84"/>
    <w:rsid w:val="00A74747"/>
    <w:rsid w:val="00A839A0"/>
    <w:rsid w:val="00A84519"/>
    <w:rsid w:val="00A84A8B"/>
    <w:rsid w:val="00A84ABE"/>
    <w:rsid w:val="00A873A2"/>
    <w:rsid w:val="00A87AFF"/>
    <w:rsid w:val="00A907CF"/>
    <w:rsid w:val="00A931CC"/>
    <w:rsid w:val="00A94F8D"/>
    <w:rsid w:val="00A95ADA"/>
    <w:rsid w:val="00AB0A12"/>
    <w:rsid w:val="00AB4C1A"/>
    <w:rsid w:val="00AC0136"/>
    <w:rsid w:val="00AC0578"/>
    <w:rsid w:val="00AC38D2"/>
    <w:rsid w:val="00AC5A29"/>
    <w:rsid w:val="00AC6505"/>
    <w:rsid w:val="00AC7AB8"/>
    <w:rsid w:val="00AD2F25"/>
    <w:rsid w:val="00AD3123"/>
    <w:rsid w:val="00AD51CC"/>
    <w:rsid w:val="00AE40B3"/>
    <w:rsid w:val="00AE42CC"/>
    <w:rsid w:val="00AE5A57"/>
    <w:rsid w:val="00AE6255"/>
    <w:rsid w:val="00AF2C1E"/>
    <w:rsid w:val="00B06286"/>
    <w:rsid w:val="00B06DF6"/>
    <w:rsid w:val="00B10793"/>
    <w:rsid w:val="00B16917"/>
    <w:rsid w:val="00B17904"/>
    <w:rsid w:val="00B2376F"/>
    <w:rsid w:val="00B23DE6"/>
    <w:rsid w:val="00B240D1"/>
    <w:rsid w:val="00B24F4C"/>
    <w:rsid w:val="00B3120E"/>
    <w:rsid w:val="00B32558"/>
    <w:rsid w:val="00B333B2"/>
    <w:rsid w:val="00B363C5"/>
    <w:rsid w:val="00B374C8"/>
    <w:rsid w:val="00B4229B"/>
    <w:rsid w:val="00B460E6"/>
    <w:rsid w:val="00B46B81"/>
    <w:rsid w:val="00B47E8A"/>
    <w:rsid w:val="00B50E2D"/>
    <w:rsid w:val="00B50FDF"/>
    <w:rsid w:val="00B513E4"/>
    <w:rsid w:val="00B606A0"/>
    <w:rsid w:val="00B61663"/>
    <w:rsid w:val="00B624D0"/>
    <w:rsid w:val="00B64016"/>
    <w:rsid w:val="00B7350D"/>
    <w:rsid w:val="00B81B62"/>
    <w:rsid w:val="00B85BA5"/>
    <w:rsid w:val="00B86438"/>
    <w:rsid w:val="00B87677"/>
    <w:rsid w:val="00B904D2"/>
    <w:rsid w:val="00B926E5"/>
    <w:rsid w:val="00B93D6F"/>
    <w:rsid w:val="00B94C85"/>
    <w:rsid w:val="00B95353"/>
    <w:rsid w:val="00B970FB"/>
    <w:rsid w:val="00B97EF7"/>
    <w:rsid w:val="00B97F0A"/>
    <w:rsid w:val="00BA1351"/>
    <w:rsid w:val="00BA1C96"/>
    <w:rsid w:val="00BA21C3"/>
    <w:rsid w:val="00BA4FB8"/>
    <w:rsid w:val="00BA7F72"/>
    <w:rsid w:val="00BB46D6"/>
    <w:rsid w:val="00BB77CF"/>
    <w:rsid w:val="00BC54DE"/>
    <w:rsid w:val="00BC6681"/>
    <w:rsid w:val="00BD1E07"/>
    <w:rsid w:val="00BD2431"/>
    <w:rsid w:val="00BD2886"/>
    <w:rsid w:val="00BD5CBF"/>
    <w:rsid w:val="00BD680F"/>
    <w:rsid w:val="00BE077D"/>
    <w:rsid w:val="00BE28C2"/>
    <w:rsid w:val="00BE5C9D"/>
    <w:rsid w:val="00BF359A"/>
    <w:rsid w:val="00C00519"/>
    <w:rsid w:val="00C0334C"/>
    <w:rsid w:val="00C036D1"/>
    <w:rsid w:val="00C100BF"/>
    <w:rsid w:val="00C11B68"/>
    <w:rsid w:val="00C1222F"/>
    <w:rsid w:val="00C13A59"/>
    <w:rsid w:val="00C13B78"/>
    <w:rsid w:val="00C15B82"/>
    <w:rsid w:val="00C179B3"/>
    <w:rsid w:val="00C17E46"/>
    <w:rsid w:val="00C25BF5"/>
    <w:rsid w:val="00C26BF5"/>
    <w:rsid w:val="00C27E8F"/>
    <w:rsid w:val="00C36326"/>
    <w:rsid w:val="00C37A36"/>
    <w:rsid w:val="00C46D50"/>
    <w:rsid w:val="00C52213"/>
    <w:rsid w:val="00C52235"/>
    <w:rsid w:val="00C53CF3"/>
    <w:rsid w:val="00C62784"/>
    <w:rsid w:val="00C629AE"/>
    <w:rsid w:val="00C67E06"/>
    <w:rsid w:val="00C720E7"/>
    <w:rsid w:val="00C72416"/>
    <w:rsid w:val="00C752DF"/>
    <w:rsid w:val="00C8149B"/>
    <w:rsid w:val="00C87784"/>
    <w:rsid w:val="00C90AD9"/>
    <w:rsid w:val="00C91FAB"/>
    <w:rsid w:val="00C943D1"/>
    <w:rsid w:val="00C964E5"/>
    <w:rsid w:val="00C977B4"/>
    <w:rsid w:val="00C97B76"/>
    <w:rsid w:val="00C97EB3"/>
    <w:rsid w:val="00CA3398"/>
    <w:rsid w:val="00CA426C"/>
    <w:rsid w:val="00CA4982"/>
    <w:rsid w:val="00CB09FC"/>
    <w:rsid w:val="00CB594D"/>
    <w:rsid w:val="00CB5BC9"/>
    <w:rsid w:val="00CB691F"/>
    <w:rsid w:val="00CC0EE0"/>
    <w:rsid w:val="00CC2DB3"/>
    <w:rsid w:val="00CC30DC"/>
    <w:rsid w:val="00CC3FA2"/>
    <w:rsid w:val="00CD4556"/>
    <w:rsid w:val="00CD4D7B"/>
    <w:rsid w:val="00CD5745"/>
    <w:rsid w:val="00CD7FEE"/>
    <w:rsid w:val="00CE5DD8"/>
    <w:rsid w:val="00CE704D"/>
    <w:rsid w:val="00CF735C"/>
    <w:rsid w:val="00D038A4"/>
    <w:rsid w:val="00D05213"/>
    <w:rsid w:val="00D056A2"/>
    <w:rsid w:val="00D170E1"/>
    <w:rsid w:val="00D24E20"/>
    <w:rsid w:val="00D25AEC"/>
    <w:rsid w:val="00D3079B"/>
    <w:rsid w:val="00D32635"/>
    <w:rsid w:val="00D37A62"/>
    <w:rsid w:val="00D40F49"/>
    <w:rsid w:val="00D42F2C"/>
    <w:rsid w:val="00D441A9"/>
    <w:rsid w:val="00D46E54"/>
    <w:rsid w:val="00D63F30"/>
    <w:rsid w:val="00D645C7"/>
    <w:rsid w:val="00D677E7"/>
    <w:rsid w:val="00D70899"/>
    <w:rsid w:val="00D71DBB"/>
    <w:rsid w:val="00D7229D"/>
    <w:rsid w:val="00D73890"/>
    <w:rsid w:val="00D744FF"/>
    <w:rsid w:val="00D77BDF"/>
    <w:rsid w:val="00D80D42"/>
    <w:rsid w:val="00D81FBC"/>
    <w:rsid w:val="00D827DD"/>
    <w:rsid w:val="00D83EF0"/>
    <w:rsid w:val="00D87635"/>
    <w:rsid w:val="00D9030C"/>
    <w:rsid w:val="00D9221D"/>
    <w:rsid w:val="00D95503"/>
    <w:rsid w:val="00DA77E8"/>
    <w:rsid w:val="00DB0A9E"/>
    <w:rsid w:val="00DB181C"/>
    <w:rsid w:val="00DB645E"/>
    <w:rsid w:val="00DB64A8"/>
    <w:rsid w:val="00DB64DD"/>
    <w:rsid w:val="00DB6D21"/>
    <w:rsid w:val="00DC09F0"/>
    <w:rsid w:val="00DC1121"/>
    <w:rsid w:val="00DC3B33"/>
    <w:rsid w:val="00DD272F"/>
    <w:rsid w:val="00DD57D2"/>
    <w:rsid w:val="00DE0574"/>
    <w:rsid w:val="00DE0F75"/>
    <w:rsid w:val="00DE2020"/>
    <w:rsid w:val="00DE6B8F"/>
    <w:rsid w:val="00DF0A04"/>
    <w:rsid w:val="00DF3124"/>
    <w:rsid w:val="00DF6ACB"/>
    <w:rsid w:val="00E11D9C"/>
    <w:rsid w:val="00E138F4"/>
    <w:rsid w:val="00E319FD"/>
    <w:rsid w:val="00E32FC2"/>
    <w:rsid w:val="00E35EBB"/>
    <w:rsid w:val="00E44D28"/>
    <w:rsid w:val="00E4578B"/>
    <w:rsid w:val="00E4667A"/>
    <w:rsid w:val="00E47111"/>
    <w:rsid w:val="00E50C0E"/>
    <w:rsid w:val="00E51260"/>
    <w:rsid w:val="00E56FBA"/>
    <w:rsid w:val="00E57CD2"/>
    <w:rsid w:val="00E62840"/>
    <w:rsid w:val="00E661CF"/>
    <w:rsid w:val="00E679DA"/>
    <w:rsid w:val="00E706A8"/>
    <w:rsid w:val="00E72460"/>
    <w:rsid w:val="00E75128"/>
    <w:rsid w:val="00E80598"/>
    <w:rsid w:val="00E82819"/>
    <w:rsid w:val="00E84144"/>
    <w:rsid w:val="00E8471C"/>
    <w:rsid w:val="00E85BA3"/>
    <w:rsid w:val="00E91B95"/>
    <w:rsid w:val="00E92470"/>
    <w:rsid w:val="00E92A24"/>
    <w:rsid w:val="00E9594A"/>
    <w:rsid w:val="00E97E17"/>
    <w:rsid w:val="00EA04C8"/>
    <w:rsid w:val="00EA1568"/>
    <w:rsid w:val="00EA6BF6"/>
    <w:rsid w:val="00EB17B4"/>
    <w:rsid w:val="00EB1878"/>
    <w:rsid w:val="00EB1FB6"/>
    <w:rsid w:val="00EB2A67"/>
    <w:rsid w:val="00EB352C"/>
    <w:rsid w:val="00EC1206"/>
    <w:rsid w:val="00EC3E9C"/>
    <w:rsid w:val="00EC6103"/>
    <w:rsid w:val="00EC700A"/>
    <w:rsid w:val="00ED6927"/>
    <w:rsid w:val="00EE347D"/>
    <w:rsid w:val="00EE364E"/>
    <w:rsid w:val="00EE7C40"/>
    <w:rsid w:val="00F03C22"/>
    <w:rsid w:val="00F04A92"/>
    <w:rsid w:val="00F05079"/>
    <w:rsid w:val="00F06372"/>
    <w:rsid w:val="00F15707"/>
    <w:rsid w:val="00F1571C"/>
    <w:rsid w:val="00F17958"/>
    <w:rsid w:val="00F2608D"/>
    <w:rsid w:val="00F265A1"/>
    <w:rsid w:val="00F4092A"/>
    <w:rsid w:val="00F4167E"/>
    <w:rsid w:val="00F4440B"/>
    <w:rsid w:val="00F44542"/>
    <w:rsid w:val="00F47DAA"/>
    <w:rsid w:val="00F50396"/>
    <w:rsid w:val="00F5205F"/>
    <w:rsid w:val="00F54F07"/>
    <w:rsid w:val="00F57E55"/>
    <w:rsid w:val="00F60825"/>
    <w:rsid w:val="00F64DBB"/>
    <w:rsid w:val="00F70964"/>
    <w:rsid w:val="00F74680"/>
    <w:rsid w:val="00F75529"/>
    <w:rsid w:val="00F767A2"/>
    <w:rsid w:val="00F805E3"/>
    <w:rsid w:val="00F82161"/>
    <w:rsid w:val="00F82470"/>
    <w:rsid w:val="00F84D63"/>
    <w:rsid w:val="00F86D18"/>
    <w:rsid w:val="00F87982"/>
    <w:rsid w:val="00F901C2"/>
    <w:rsid w:val="00F9058D"/>
    <w:rsid w:val="00F90D9C"/>
    <w:rsid w:val="00F933E5"/>
    <w:rsid w:val="00F96F00"/>
    <w:rsid w:val="00F972B4"/>
    <w:rsid w:val="00FA0745"/>
    <w:rsid w:val="00FA0F8A"/>
    <w:rsid w:val="00FA2464"/>
    <w:rsid w:val="00FA2621"/>
    <w:rsid w:val="00FA271C"/>
    <w:rsid w:val="00FA3A69"/>
    <w:rsid w:val="00FA4F99"/>
    <w:rsid w:val="00FA7FA9"/>
    <w:rsid w:val="00FB075E"/>
    <w:rsid w:val="00FB277A"/>
    <w:rsid w:val="00FB55E2"/>
    <w:rsid w:val="00FB5E13"/>
    <w:rsid w:val="00FB6218"/>
    <w:rsid w:val="00FB7FDD"/>
    <w:rsid w:val="00FC08A9"/>
    <w:rsid w:val="00FC0BD5"/>
    <w:rsid w:val="00FC0DAF"/>
    <w:rsid w:val="00FC1EF5"/>
    <w:rsid w:val="00FC21F3"/>
    <w:rsid w:val="00FC31B1"/>
    <w:rsid w:val="00FC40BD"/>
    <w:rsid w:val="00FC4B24"/>
    <w:rsid w:val="00FD4BC0"/>
    <w:rsid w:val="00FD55A1"/>
    <w:rsid w:val="00FD5798"/>
    <w:rsid w:val="00FD6CED"/>
    <w:rsid w:val="00FD7343"/>
    <w:rsid w:val="00FE1212"/>
    <w:rsid w:val="00FE478E"/>
    <w:rsid w:val="00FF3292"/>
    <w:rsid w:val="00FF43F6"/>
    <w:rsid w:val="00FF4891"/>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CAD4F9-EAA1-4608-859B-A5BF893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F8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F8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F8D"/>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CB2"/>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4CB2"/>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4CB2"/>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4C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4C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4C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8D"/>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A94F8D"/>
    <w:rPr>
      <w:rFonts w:asciiTheme="majorHAnsi" w:eastAsiaTheme="majorEastAsia" w:hAnsiTheme="majorHAnsi" w:cstheme="majorBidi"/>
      <w:b/>
      <w:bCs/>
      <w:color w:val="4F81BD" w:themeColor="accent1"/>
      <w:sz w:val="26"/>
      <w:szCs w:val="26"/>
      <w:lang w:val="en-ZA"/>
    </w:rPr>
  </w:style>
  <w:style w:type="paragraph" w:styleId="ListParagraph">
    <w:name w:val="List Paragraph"/>
    <w:basedOn w:val="Normal"/>
    <w:uiPriority w:val="34"/>
    <w:qFormat/>
    <w:rsid w:val="00A94F8D"/>
    <w:pPr>
      <w:ind w:left="720"/>
      <w:contextualSpacing/>
    </w:pPr>
  </w:style>
  <w:style w:type="character" w:customStyle="1" w:styleId="Heading3Char">
    <w:name w:val="Heading 3 Char"/>
    <w:basedOn w:val="DefaultParagraphFont"/>
    <w:link w:val="Heading3"/>
    <w:uiPriority w:val="9"/>
    <w:rsid w:val="00A94F8D"/>
    <w:rPr>
      <w:rFonts w:asciiTheme="majorHAnsi" w:eastAsiaTheme="majorEastAsia" w:hAnsiTheme="majorHAnsi" w:cstheme="majorBidi"/>
      <w:b/>
      <w:bCs/>
      <w:color w:val="4F81BD" w:themeColor="accent1"/>
      <w:lang w:val="en-ZA"/>
    </w:rPr>
  </w:style>
  <w:style w:type="paragraph" w:customStyle="1" w:styleId="Arial">
    <w:name w:val="Arial"/>
    <w:basedOn w:val="Normal"/>
    <w:uiPriority w:val="99"/>
    <w:rsid w:val="00AE5A57"/>
    <w:pPr>
      <w:spacing w:after="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353F34"/>
    <w:pPr>
      <w:outlineLvl w:val="9"/>
    </w:pPr>
  </w:style>
  <w:style w:type="paragraph" w:styleId="TOC1">
    <w:name w:val="toc 1"/>
    <w:basedOn w:val="Normal"/>
    <w:next w:val="Normal"/>
    <w:autoRedefine/>
    <w:uiPriority w:val="39"/>
    <w:unhideWhenUsed/>
    <w:qFormat/>
    <w:rsid w:val="00353F34"/>
    <w:pPr>
      <w:spacing w:before="120" w:after="120"/>
    </w:pPr>
    <w:rPr>
      <w:b/>
      <w:bCs/>
      <w:caps/>
      <w:sz w:val="20"/>
      <w:szCs w:val="20"/>
    </w:rPr>
  </w:style>
  <w:style w:type="paragraph" w:styleId="TOC2">
    <w:name w:val="toc 2"/>
    <w:basedOn w:val="Normal"/>
    <w:next w:val="Normal"/>
    <w:autoRedefine/>
    <w:uiPriority w:val="39"/>
    <w:unhideWhenUsed/>
    <w:qFormat/>
    <w:rsid w:val="00353F34"/>
    <w:pPr>
      <w:spacing w:after="0"/>
      <w:ind w:left="220"/>
    </w:pPr>
    <w:rPr>
      <w:smallCaps/>
      <w:sz w:val="20"/>
      <w:szCs w:val="20"/>
    </w:rPr>
  </w:style>
  <w:style w:type="character" w:styleId="Hyperlink">
    <w:name w:val="Hyperlink"/>
    <w:basedOn w:val="DefaultParagraphFont"/>
    <w:uiPriority w:val="99"/>
    <w:unhideWhenUsed/>
    <w:rsid w:val="00353F34"/>
    <w:rPr>
      <w:color w:val="0000FF" w:themeColor="hyperlink"/>
      <w:u w:val="single"/>
    </w:rPr>
  </w:style>
  <w:style w:type="paragraph" w:styleId="BalloonText">
    <w:name w:val="Balloon Text"/>
    <w:basedOn w:val="Normal"/>
    <w:link w:val="BalloonTextChar"/>
    <w:uiPriority w:val="99"/>
    <w:semiHidden/>
    <w:unhideWhenUsed/>
    <w:rsid w:val="0035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34"/>
    <w:rPr>
      <w:rFonts w:ascii="Tahoma" w:hAnsi="Tahoma" w:cs="Tahoma"/>
      <w:sz w:val="16"/>
      <w:szCs w:val="16"/>
    </w:rPr>
  </w:style>
  <w:style w:type="paragraph" w:customStyle="1" w:styleId="Paragraph">
    <w:name w:val="Paragraph"/>
    <w:basedOn w:val="Normal"/>
    <w:rsid w:val="00BB46D6"/>
    <w:pPr>
      <w:tabs>
        <w:tab w:val="left" w:pos="284"/>
        <w:tab w:val="left" w:pos="567"/>
        <w:tab w:val="left" w:pos="851"/>
      </w:tabs>
      <w:spacing w:after="160" w:line="260" w:lineRule="atLeast"/>
      <w:jc w:val="both"/>
    </w:pPr>
    <w:rPr>
      <w:rFonts w:ascii="Times New Roman" w:eastAsia="Times New Roman" w:hAnsi="Times New Roman" w:cs="Times New Roman"/>
      <w:szCs w:val="20"/>
      <w:lang w:val="en-GB"/>
    </w:rPr>
  </w:style>
  <w:style w:type="paragraph" w:customStyle="1" w:styleId="FinalBullet">
    <w:name w:val="Final Bullet"/>
    <w:basedOn w:val="ListBullet"/>
    <w:rsid w:val="00BB46D6"/>
    <w:pPr>
      <w:tabs>
        <w:tab w:val="left" w:pos="357"/>
      </w:tabs>
      <w:spacing w:after="160"/>
    </w:pPr>
    <w:rPr>
      <w:szCs w:val="20"/>
      <w:lang w:val="en-GB"/>
    </w:rPr>
  </w:style>
  <w:style w:type="paragraph" w:styleId="ListBullet">
    <w:name w:val="List Bullet"/>
    <w:basedOn w:val="Normal"/>
    <w:autoRedefine/>
    <w:rsid w:val="002152F6"/>
    <w:pPr>
      <w:spacing w:after="0" w:line="240" w:lineRule="auto"/>
      <w:ind w:left="720" w:hanging="720"/>
      <w:jc w:val="both"/>
    </w:pPr>
    <w:rPr>
      <w:rFonts w:ascii="Times New Roman" w:eastAsia="Times New Roman" w:hAnsi="Times New Roman" w:cs="Times New Roman"/>
      <w:szCs w:val="24"/>
    </w:rPr>
  </w:style>
  <w:style w:type="paragraph" w:styleId="BodyTextIndent">
    <w:name w:val="Body Text Indent"/>
    <w:basedOn w:val="Normal"/>
    <w:link w:val="BodyTextIndentChar"/>
    <w:rsid w:val="00AC057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0578"/>
    <w:rPr>
      <w:rFonts w:ascii="Times New Roman" w:eastAsia="Times New Roman" w:hAnsi="Times New Roman" w:cs="Times New Roman"/>
      <w:sz w:val="24"/>
      <w:szCs w:val="24"/>
      <w:lang w:val="en-ZA"/>
    </w:rPr>
  </w:style>
  <w:style w:type="paragraph" w:styleId="NormalWeb">
    <w:name w:val="Normal (Web)"/>
    <w:basedOn w:val="Normal"/>
    <w:uiPriority w:val="99"/>
    <w:rsid w:val="00AC0578"/>
    <w:pPr>
      <w:spacing w:before="100" w:beforeAutospacing="1" w:after="100" w:afterAutospacing="1" w:line="240" w:lineRule="auto"/>
    </w:pPr>
    <w:rPr>
      <w:rFonts w:ascii="Helvetica" w:eastAsia="Times New Roman" w:hAnsi="Helvetica" w:cs="Times New Roman"/>
      <w:color w:val="FFFFCC"/>
      <w:sz w:val="20"/>
      <w:szCs w:val="20"/>
    </w:rPr>
  </w:style>
  <w:style w:type="paragraph" w:styleId="FootnoteText">
    <w:name w:val="footnote text"/>
    <w:basedOn w:val="Normal"/>
    <w:link w:val="FootnoteTextChar"/>
    <w:rsid w:val="00AC05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05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C0578"/>
    <w:rPr>
      <w:vertAlign w:val="superscript"/>
    </w:rPr>
  </w:style>
  <w:style w:type="paragraph" w:styleId="Header">
    <w:name w:val="header"/>
    <w:basedOn w:val="Normal"/>
    <w:link w:val="HeaderChar"/>
    <w:uiPriority w:val="99"/>
    <w:unhideWhenUsed/>
    <w:rsid w:val="00776217"/>
    <w:pPr>
      <w:tabs>
        <w:tab w:val="center" w:pos="4680"/>
        <w:tab w:val="right" w:pos="9360"/>
      </w:tabs>
      <w:spacing w:after="0" w:line="240" w:lineRule="auto"/>
    </w:pPr>
    <w:rPr>
      <w:u w:val="single"/>
    </w:rPr>
  </w:style>
  <w:style w:type="character" w:customStyle="1" w:styleId="HeaderChar">
    <w:name w:val="Header Char"/>
    <w:basedOn w:val="DefaultParagraphFont"/>
    <w:link w:val="Header"/>
    <w:uiPriority w:val="99"/>
    <w:rsid w:val="00776217"/>
    <w:rPr>
      <w:u w:val="single"/>
    </w:rPr>
  </w:style>
  <w:style w:type="paragraph" w:styleId="Footer">
    <w:name w:val="footer"/>
    <w:basedOn w:val="Normal"/>
    <w:link w:val="FooterChar"/>
    <w:uiPriority w:val="99"/>
    <w:unhideWhenUsed/>
    <w:rsid w:val="002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D"/>
  </w:style>
  <w:style w:type="paragraph" w:styleId="BodyText">
    <w:name w:val="Body Text"/>
    <w:basedOn w:val="Normal"/>
    <w:link w:val="BodyTextChar"/>
    <w:uiPriority w:val="99"/>
    <w:unhideWhenUsed/>
    <w:rsid w:val="00653A3E"/>
    <w:pPr>
      <w:spacing w:after="120"/>
    </w:pPr>
  </w:style>
  <w:style w:type="character" w:customStyle="1" w:styleId="BodyTextChar">
    <w:name w:val="Body Text Char"/>
    <w:basedOn w:val="DefaultParagraphFont"/>
    <w:link w:val="BodyText"/>
    <w:uiPriority w:val="99"/>
    <w:rsid w:val="00653A3E"/>
  </w:style>
  <w:style w:type="paragraph" w:styleId="Subtitle">
    <w:name w:val="Subtitle"/>
    <w:basedOn w:val="Title"/>
    <w:next w:val="BodyText"/>
    <w:link w:val="SubtitleChar"/>
    <w:qFormat/>
    <w:rsid w:val="00653A3E"/>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653A3E"/>
    <w:rPr>
      <w:rFonts w:ascii="Arial" w:eastAsia="Times New Roman" w:hAnsi="Arial" w:cs="Arial"/>
      <w:spacing w:val="-16"/>
      <w:kern w:val="1"/>
      <w:sz w:val="32"/>
      <w:szCs w:val="32"/>
      <w:lang w:val="en-GB" w:eastAsia="ar-SA"/>
    </w:rPr>
  </w:style>
  <w:style w:type="paragraph" w:customStyle="1" w:styleId="TitleCover">
    <w:name w:val="Title Cover"/>
    <w:basedOn w:val="Normal"/>
    <w:next w:val="Normal"/>
    <w:rsid w:val="00653A3E"/>
    <w:pPr>
      <w:keepNext/>
      <w:keepLines/>
      <w:pBdr>
        <w:top w:val="single" w:sz="40" w:space="31" w:color="000000"/>
      </w:pBdr>
      <w:tabs>
        <w:tab w:val="left" w:pos="-1680"/>
      </w:tabs>
      <w:suppressAutoHyphens/>
      <w:spacing w:before="240" w:after="500" w:line="640" w:lineRule="exact"/>
      <w:ind w:left="-840" w:right="-840"/>
      <w:jc w:val="both"/>
    </w:pPr>
    <w:rPr>
      <w:rFonts w:ascii="Arial Black" w:eastAsia="Times New Roman" w:hAnsi="Arial Black" w:cs="Arial Black"/>
      <w:b/>
      <w:bCs/>
      <w:spacing w:val="-48"/>
      <w:kern w:val="1"/>
      <w:sz w:val="64"/>
      <w:szCs w:val="64"/>
      <w:lang w:val="en-GB" w:eastAsia="ar-SA"/>
    </w:rPr>
  </w:style>
  <w:style w:type="paragraph" w:customStyle="1" w:styleId="SubtitleCover">
    <w:name w:val="Subtitle Cover"/>
    <w:basedOn w:val="TitleCover"/>
    <w:next w:val="BodyText"/>
    <w:rsid w:val="00653A3E"/>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653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A3E"/>
    <w:rPr>
      <w:rFonts w:asciiTheme="majorHAnsi" w:eastAsiaTheme="majorEastAsia" w:hAnsiTheme="majorHAnsi" w:cstheme="majorBidi"/>
      <w:color w:val="17365D" w:themeColor="text2" w:themeShade="BF"/>
      <w:spacing w:val="5"/>
      <w:kern w:val="28"/>
      <w:sz w:val="52"/>
      <w:szCs w:val="52"/>
    </w:rPr>
  </w:style>
  <w:style w:type="character" w:customStyle="1" w:styleId="FootnoteCharacters">
    <w:name w:val="Footnote Characters"/>
    <w:rsid w:val="00470B8A"/>
    <w:rPr>
      <w:rFonts w:cs="Times New Roman"/>
      <w:vertAlign w:val="superscript"/>
    </w:rPr>
  </w:style>
  <w:style w:type="character" w:styleId="PageNumber">
    <w:name w:val="page number"/>
    <w:uiPriority w:val="99"/>
    <w:rsid w:val="00776217"/>
    <w:rPr>
      <w:rFonts w:ascii="Arial Black" w:hAnsi="Arial Black" w:cs="Arial Black"/>
      <w:spacing w:val="-10"/>
      <w:sz w:val="18"/>
      <w:szCs w:val="18"/>
    </w:rPr>
  </w:style>
  <w:style w:type="paragraph" w:customStyle="1" w:styleId="1AutoList1">
    <w:name w:val="1AutoList1"/>
    <w:rsid w:val="00895C5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ZA"/>
    </w:rPr>
  </w:style>
  <w:style w:type="paragraph" w:styleId="TOC3">
    <w:name w:val="toc 3"/>
    <w:basedOn w:val="Normal"/>
    <w:next w:val="Normal"/>
    <w:autoRedefine/>
    <w:uiPriority w:val="39"/>
    <w:unhideWhenUsed/>
    <w:qFormat/>
    <w:rsid w:val="008D6BA7"/>
    <w:pPr>
      <w:spacing w:after="0"/>
      <w:ind w:left="440"/>
    </w:pPr>
    <w:rPr>
      <w:i/>
      <w:iCs/>
      <w:sz w:val="20"/>
      <w:szCs w:val="20"/>
    </w:rPr>
  </w:style>
  <w:style w:type="paragraph" w:styleId="TOC4">
    <w:name w:val="toc 4"/>
    <w:basedOn w:val="Normal"/>
    <w:next w:val="Normal"/>
    <w:autoRedefine/>
    <w:uiPriority w:val="39"/>
    <w:unhideWhenUsed/>
    <w:rsid w:val="008D6BA7"/>
    <w:pPr>
      <w:spacing w:after="0"/>
      <w:ind w:left="660"/>
    </w:pPr>
    <w:rPr>
      <w:sz w:val="18"/>
      <w:szCs w:val="18"/>
    </w:rPr>
  </w:style>
  <w:style w:type="paragraph" w:styleId="TOC5">
    <w:name w:val="toc 5"/>
    <w:basedOn w:val="Normal"/>
    <w:next w:val="Normal"/>
    <w:autoRedefine/>
    <w:uiPriority w:val="39"/>
    <w:unhideWhenUsed/>
    <w:rsid w:val="008D6BA7"/>
    <w:pPr>
      <w:spacing w:after="0"/>
      <w:ind w:left="880"/>
    </w:pPr>
    <w:rPr>
      <w:sz w:val="18"/>
      <w:szCs w:val="18"/>
    </w:rPr>
  </w:style>
  <w:style w:type="paragraph" w:styleId="TOC6">
    <w:name w:val="toc 6"/>
    <w:basedOn w:val="Normal"/>
    <w:next w:val="Normal"/>
    <w:autoRedefine/>
    <w:uiPriority w:val="39"/>
    <w:unhideWhenUsed/>
    <w:rsid w:val="008D6BA7"/>
    <w:pPr>
      <w:spacing w:after="0"/>
      <w:ind w:left="1100"/>
    </w:pPr>
    <w:rPr>
      <w:sz w:val="18"/>
      <w:szCs w:val="18"/>
    </w:rPr>
  </w:style>
  <w:style w:type="paragraph" w:styleId="TOC7">
    <w:name w:val="toc 7"/>
    <w:basedOn w:val="Normal"/>
    <w:next w:val="Normal"/>
    <w:autoRedefine/>
    <w:uiPriority w:val="39"/>
    <w:unhideWhenUsed/>
    <w:rsid w:val="008D6BA7"/>
    <w:pPr>
      <w:spacing w:after="0"/>
      <w:ind w:left="1320"/>
    </w:pPr>
    <w:rPr>
      <w:sz w:val="18"/>
      <w:szCs w:val="18"/>
    </w:rPr>
  </w:style>
  <w:style w:type="paragraph" w:styleId="TOC8">
    <w:name w:val="toc 8"/>
    <w:basedOn w:val="Normal"/>
    <w:next w:val="Normal"/>
    <w:autoRedefine/>
    <w:uiPriority w:val="39"/>
    <w:unhideWhenUsed/>
    <w:rsid w:val="008D6BA7"/>
    <w:pPr>
      <w:spacing w:after="0"/>
      <w:ind w:left="1540"/>
    </w:pPr>
    <w:rPr>
      <w:sz w:val="18"/>
      <w:szCs w:val="18"/>
    </w:rPr>
  </w:style>
  <w:style w:type="paragraph" w:styleId="TOC9">
    <w:name w:val="toc 9"/>
    <w:basedOn w:val="Normal"/>
    <w:next w:val="Normal"/>
    <w:autoRedefine/>
    <w:uiPriority w:val="39"/>
    <w:unhideWhenUsed/>
    <w:rsid w:val="008D6BA7"/>
    <w:pPr>
      <w:spacing w:after="0"/>
      <w:ind w:left="1760"/>
    </w:pPr>
    <w:rPr>
      <w:sz w:val="18"/>
      <w:szCs w:val="18"/>
    </w:rPr>
  </w:style>
  <w:style w:type="character" w:customStyle="1" w:styleId="Heading4Char">
    <w:name w:val="Heading 4 Char"/>
    <w:basedOn w:val="DefaultParagraphFont"/>
    <w:link w:val="Heading4"/>
    <w:uiPriority w:val="9"/>
    <w:rsid w:val="001A4CB2"/>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1A4CB2"/>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1A4CB2"/>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1A4CB2"/>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1A4CB2"/>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1A4CB2"/>
    <w:rPr>
      <w:rFonts w:asciiTheme="majorHAnsi" w:eastAsiaTheme="majorEastAsia" w:hAnsiTheme="majorHAnsi" w:cstheme="majorBidi"/>
      <w:i/>
      <w:iCs/>
      <w:color w:val="404040" w:themeColor="text1" w:themeTint="BF"/>
      <w:sz w:val="20"/>
      <w:szCs w:val="20"/>
      <w:lang w:val="en-ZA"/>
    </w:rPr>
  </w:style>
  <w:style w:type="paragraph" w:styleId="Caption">
    <w:name w:val="caption"/>
    <w:basedOn w:val="Normal"/>
    <w:next w:val="Normal"/>
    <w:uiPriority w:val="35"/>
    <w:unhideWhenUsed/>
    <w:qFormat/>
    <w:rsid w:val="001A5BA6"/>
    <w:pPr>
      <w:spacing w:line="240" w:lineRule="auto"/>
    </w:pPr>
    <w:rPr>
      <w:rFonts w:ascii="Arial" w:hAnsi="Arial"/>
      <w:b/>
      <w:bCs/>
      <w:szCs w:val="18"/>
    </w:rPr>
  </w:style>
  <w:style w:type="character" w:styleId="CommentReference">
    <w:name w:val="annotation reference"/>
    <w:basedOn w:val="DefaultParagraphFont"/>
    <w:uiPriority w:val="99"/>
    <w:semiHidden/>
    <w:unhideWhenUsed/>
    <w:rsid w:val="00825721"/>
    <w:rPr>
      <w:sz w:val="16"/>
      <w:szCs w:val="16"/>
    </w:rPr>
  </w:style>
  <w:style w:type="paragraph" w:styleId="CommentText">
    <w:name w:val="annotation text"/>
    <w:basedOn w:val="Normal"/>
    <w:link w:val="CommentTextChar"/>
    <w:uiPriority w:val="99"/>
    <w:semiHidden/>
    <w:unhideWhenUsed/>
    <w:rsid w:val="00825721"/>
    <w:pPr>
      <w:spacing w:line="240" w:lineRule="auto"/>
    </w:pPr>
    <w:rPr>
      <w:sz w:val="20"/>
      <w:szCs w:val="20"/>
    </w:rPr>
  </w:style>
  <w:style w:type="character" w:customStyle="1" w:styleId="CommentTextChar">
    <w:name w:val="Comment Text Char"/>
    <w:basedOn w:val="DefaultParagraphFont"/>
    <w:link w:val="CommentText"/>
    <w:uiPriority w:val="99"/>
    <w:semiHidden/>
    <w:rsid w:val="00825721"/>
    <w:rPr>
      <w:sz w:val="20"/>
      <w:szCs w:val="20"/>
    </w:rPr>
  </w:style>
  <w:style w:type="paragraph" w:styleId="CommentSubject">
    <w:name w:val="annotation subject"/>
    <w:basedOn w:val="CommentText"/>
    <w:next w:val="CommentText"/>
    <w:link w:val="CommentSubjectChar"/>
    <w:uiPriority w:val="99"/>
    <w:semiHidden/>
    <w:unhideWhenUsed/>
    <w:rsid w:val="00825721"/>
    <w:rPr>
      <w:b/>
      <w:bCs/>
    </w:rPr>
  </w:style>
  <w:style w:type="character" w:customStyle="1" w:styleId="CommentSubjectChar">
    <w:name w:val="Comment Subject Char"/>
    <w:basedOn w:val="CommentTextChar"/>
    <w:link w:val="CommentSubject"/>
    <w:uiPriority w:val="99"/>
    <w:semiHidden/>
    <w:rsid w:val="00825721"/>
    <w:rPr>
      <w:b/>
      <w:bCs/>
      <w:sz w:val="20"/>
      <w:szCs w:val="20"/>
    </w:rPr>
  </w:style>
  <w:style w:type="paragraph" w:styleId="TableofFigures">
    <w:name w:val="table of figures"/>
    <w:basedOn w:val="Normal"/>
    <w:next w:val="Normal"/>
    <w:uiPriority w:val="99"/>
    <w:unhideWhenUsed/>
    <w:rsid w:val="003E133E"/>
    <w:pPr>
      <w:spacing w:after="0"/>
    </w:pPr>
  </w:style>
  <w:style w:type="paragraph" w:customStyle="1" w:styleId="Default">
    <w:name w:val="Default"/>
    <w:rsid w:val="00FA7FA9"/>
    <w:pPr>
      <w:autoSpaceDE w:val="0"/>
      <w:autoSpaceDN w:val="0"/>
      <w:adjustRightInd w:val="0"/>
      <w:spacing w:after="0" w:line="240" w:lineRule="auto"/>
    </w:pPr>
    <w:rPr>
      <w:rFonts w:ascii="Arial" w:hAnsi="Arial" w:cs="Arial"/>
      <w:color w:val="000000"/>
      <w:sz w:val="24"/>
      <w:szCs w:val="24"/>
    </w:rPr>
  </w:style>
  <w:style w:type="table" w:styleId="MediumShading2-Accent1">
    <w:name w:val="Medium Shading 2 Accent 1"/>
    <w:basedOn w:val="TableNormal"/>
    <w:uiPriority w:val="64"/>
    <w:rsid w:val="005C3763"/>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773DC6"/>
    <w:pPr>
      <w:spacing w:after="0" w:line="240" w:lineRule="auto"/>
    </w:pPr>
    <w:rPr>
      <w:rFonts w:eastAsia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11945">
      <w:bodyDiv w:val="1"/>
      <w:marLeft w:val="0"/>
      <w:marRight w:val="0"/>
      <w:marTop w:val="0"/>
      <w:marBottom w:val="0"/>
      <w:divBdr>
        <w:top w:val="none" w:sz="0" w:space="0" w:color="auto"/>
        <w:left w:val="none" w:sz="0" w:space="0" w:color="auto"/>
        <w:bottom w:val="none" w:sz="0" w:space="0" w:color="auto"/>
        <w:right w:val="none" w:sz="0" w:space="0" w:color="auto"/>
      </w:divBdr>
    </w:div>
    <w:div w:id="793140768">
      <w:bodyDiv w:val="1"/>
      <w:marLeft w:val="0"/>
      <w:marRight w:val="0"/>
      <w:marTop w:val="0"/>
      <w:marBottom w:val="0"/>
      <w:divBdr>
        <w:top w:val="none" w:sz="0" w:space="0" w:color="auto"/>
        <w:left w:val="none" w:sz="0" w:space="0" w:color="auto"/>
        <w:bottom w:val="none" w:sz="0" w:space="0" w:color="auto"/>
        <w:right w:val="none" w:sz="0" w:space="0" w:color="auto"/>
      </w:divBdr>
    </w:div>
    <w:div w:id="796415013">
      <w:bodyDiv w:val="1"/>
      <w:marLeft w:val="0"/>
      <w:marRight w:val="0"/>
      <w:marTop w:val="0"/>
      <w:marBottom w:val="0"/>
      <w:divBdr>
        <w:top w:val="none" w:sz="0" w:space="0" w:color="auto"/>
        <w:left w:val="none" w:sz="0" w:space="0" w:color="auto"/>
        <w:bottom w:val="none" w:sz="0" w:space="0" w:color="auto"/>
        <w:right w:val="none" w:sz="0" w:space="0" w:color="auto"/>
      </w:divBdr>
    </w:div>
    <w:div w:id="824592684">
      <w:bodyDiv w:val="1"/>
      <w:marLeft w:val="0"/>
      <w:marRight w:val="0"/>
      <w:marTop w:val="0"/>
      <w:marBottom w:val="0"/>
      <w:divBdr>
        <w:top w:val="none" w:sz="0" w:space="0" w:color="auto"/>
        <w:left w:val="none" w:sz="0" w:space="0" w:color="auto"/>
        <w:bottom w:val="none" w:sz="0" w:space="0" w:color="auto"/>
        <w:right w:val="none" w:sz="0" w:space="0" w:color="auto"/>
      </w:divBdr>
    </w:div>
    <w:div w:id="1047529352">
      <w:bodyDiv w:val="1"/>
      <w:marLeft w:val="0"/>
      <w:marRight w:val="0"/>
      <w:marTop w:val="0"/>
      <w:marBottom w:val="0"/>
      <w:divBdr>
        <w:top w:val="none" w:sz="0" w:space="0" w:color="auto"/>
        <w:left w:val="none" w:sz="0" w:space="0" w:color="auto"/>
        <w:bottom w:val="none" w:sz="0" w:space="0" w:color="auto"/>
        <w:right w:val="none" w:sz="0" w:space="0" w:color="auto"/>
      </w:divBdr>
    </w:div>
    <w:div w:id="1187984757">
      <w:bodyDiv w:val="1"/>
      <w:marLeft w:val="0"/>
      <w:marRight w:val="0"/>
      <w:marTop w:val="0"/>
      <w:marBottom w:val="0"/>
      <w:divBdr>
        <w:top w:val="none" w:sz="0" w:space="0" w:color="auto"/>
        <w:left w:val="none" w:sz="0" w:space="0" w:color="auto"/>
        <w:bottom w:val="none" w:sz="0" w:space="0" w:color="auto"/>
        <w:right w:val="none" w:sz="0" w:space="0" w:color="auto"/>
      </w:divBdr>
    </w:div>
    <w:div w:id="1320427702">
      <w:bodyDiv w:val="1"/>
      <w:marLeft w:val="0"/>
      <w:marRight w:val="0"/>
      <w:marTop w:val="0"/>
      <w:marBottom w:val="0"/>
      <w:divBdr>
        <w:top w:val="none" w:sz="0" w:space="0" w:color="auto"/>
        <w:left w:val="none" w:sz="0" w:space="0" w:color="auto"/>
        <w:bottom w:val="none" w:sz="0" w:space="0" w:color="auto"/>
        <w:right w:val="none" w:sz="0" w:space="0" w:color="auto"/>
      </w:divBdr>
      <w:divsChild>
        <w:div w:id="1457867997">
          <w:marLeft w:val="0"/>
          <w:marRight w:val="0"/>
          <w:marTop w:val="0"/>
          <w:marBottom w:val="0"/>
          <w:divBdr>
            <w:top w:val="none" w:sz="0" w:space="0" w:color="auto"/>
            <w:left w:val="none" w:sz="0" w:space="0" w:color="auto"/>
            <w:bottom w:val="none" w:sz="0" w:space="0" w:color="auto"/>
            <w:right w:val="none" w:sz="0" w:space="0" w:color="auto"/>
          </w:divBdr>
          <w:divsChild>
            <w:div w:id="9463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108">
      <w:bodyDiv w:val="1"/>
      <w:marLeft w:val="0"/>
      <w:marRight w:val="0"/>
      <w:marTop w:val="0"/>
      <w:marBottom w:val="0"/>
      <w:divBdr>
        <w:top w:val="none" w:sz="0" w:space="0" w:color="auto"/>
        <w:left w:val="none" w:sz="0" w:space="0" w:color="auto"/>
        <w:bottom w:val="none" w:sz="0" w:space="0" w:color="auto"/>
        <w:right w:val="none" w:sz="0" w:space="0" w:color="auto"/>
      </w:divBdr>
    </w:div>
    <w:div w:id="1524783104">
      <w:bodyDiv w:val="1"/>
      <w:marLeft w:val="0"/>
      <w:marRight w:val="0"/>
      <w:marTop w:val="0"/>
      <w:marBottom w:val="0"/>
      <w:divBdr>
        <w:top w:val="none" w:sz="0" w:space="0" w:color="auto"/>
        <w:left w:val="none" w:sz="0" w:space="0" w:color="auto"/>
        <w:bottom w:val="none" w:sz="0" w:space="0" w:color="auto"/>
        <w:right w:val="none" w:sz="0" w:space="0" w:color="auto"/>
      </w:divBdr>
    </w:div>
    <w:div w:id="1524974873">
      <w:bodyDiv w:val="1"/>
      <w:marLeft w:val="0"/>
      <w:marRight w:val="0"/>
      <w:marTop w:val="0"/>
      <w:marBottom w:val="0"/>
      <w:divBdr>
        <w:top w:val="none" w:sz="0" w:space="0" w:color="auto"/>
        <w:left w:val="none" w:sz="0" w:space="0" w:color="auto"/>
        <w:bottom w:val="none" w:sz="0" w:space="0" w:color="auto"/>
        <w:right w:val="none" w:sz="0" w:space="0" w:color="auto"/>
      </w:divBdr>
    </w:div>
    <w:div w:id="21132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10.png"/><Relationship Id="rId39" Type="http://schemas.openxmlformats.org/officeDocument/2006/relationships/image" Target="media/image21.png"/><Relationship Id="rId21" Type="http://schemas.openxmlformats.org/officeDocument/2006/relationships/image" Target="media/image6.emf"/><Relationship Id="rId34" Type="http://schemas.openxmlformats.org/officeDocument/2006/relationships/image" Target="media/image18.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1.emf"/><Relationship Id="rId55" Type="http://schemas.openxmlformats.org/officeDocument/2006/relationships/image" Target="media/image3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0.png"/><Relationship Id="rId46"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image" Target="media/image13.emf"/><Relationship Id="rId41" Type="http://schemas.openxmlformats.org/officeDocument/2006/relationships/image" Target="media/image23.png"/><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footer" Target="footer3.xml"/><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2.emf"/><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image" Target="media/image12.emf"/><Relationship Id="rId36" Type="http://schemas.openxmlformats.org/officeDocument/2006/relationships/header" Target="header4.xm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5.emf"/><Relationship Id="rId44" Type="http://schemas.openxmlformats.org/officeDocument/2006/relationships/image" Target="media/image26.emf"/><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png"/><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Expenditure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Sheet2!$B$25:$B$34</c:f>
              <c:strCache>
                <c:ptCount val="9"/>
                <c:pt idx="0">
                  <c:v>Employee related costs</c:v>
                </c:pt>
                <c:pt idx="1">
                  <c:v>Remuneration of councillors</c:v>
                </c:pt>
                <c:pt idx="2">
                  <c:v>Debt impairment</c:v>
                </c:pt>
                <c:pt idx="3">
                  <c:v>Depreciation &amp; asset impairment</c:v>
                </c:pt>
                <c:pt idx="4">
                  <c:v>Finance charges</c:v>
                </c:pt>
                <c:pt idx="5">
                  <c:v>Bulk purchases</c:v>
                </c:pt>
                <c:pt idx="6">
                  <c:v>Other materials</c:v>
                </c:pt>
                <c:pt idx="7">
                  <c:v>Contracted services</c:v>
                </c:pt>
                <c:pt idx="8">
                  <c:v>Other expenditure</c:v>
                </c:pt>
              </c:strCache>
            </c:strRef>
          </c:cat>
          <c:val>
            <c:numRef>
              <c:f>Sheet2!$M$25:$M$34</c:f>
              <c:numCache>
                <c:formatCode>#,##0</c:formatCode>
                <c:ptCount val="9"/>
                <c:pt idx="0">
                  <c:v>182253506</c:v>
                </c:pt>
                <c:pt idx="1">
                  <c:v>18952828</c:v>
                </c:pt>
                <c:pt idx="2">
                  <c:v>7000000</c:v>
                </c:pt>
                <c:pt idx="3">
                  <c:v>50328964</c:v>
                </c:pt>
                <c:pt idx="4">
                  <c:v>9243504</c:v>
                </c:pt>
                <c:pt idx="5">
                  <c:v>190080000</c:v>
                </c:pt>
                <c:pt idx="6">
                  <c:v>14779936</c:v>
                </c:pt>
                <c:pt idx="7">
                  <c:v>36918714</c:v>
                </c:pt>
                <c:pt idx="8">
                  <c:v>43431548</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177187226596678"/>
          <c:y val="0.10196025496812898"/>
          <c:w val="0.33156146106736656"/>
          <c:h val="0.8520208820051339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79C984BFDDB4495B0FDA26180230A" ma:contentTypeVersion="1" ma:contentTypeDescription="Create a new document." ma:contentTypeScope="" ma:versionID="d30781245405748aea988333374631d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4296-EB84-42C4-896A-9F8E7FC94F39}">
  <ds:schemaRefs>
    <ds:schemaRef ds:uri="http://schemas.microsoft.com/sharepoint/v3/contenttype/forms"/>
  </ds:schemaRefs>
</ds:datastoreItem>
</file>

<file path=customXml/itemProps2.xml><?xml version="1.0" encoding="utf-8"?>
<ds:datastoreItem xmlns:ds="http://schemas.openxmlformats.org/officeDocument/2006/customXml" ds:itemID="{B06EE634-B953-43D6-AB08-82C3B32D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A2E05A-AE75-4E87-A5C3-B0B6AE4F6DCC}">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CF5377-8C24-4A14-9B02-8D72A7D7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67</Pages>
  <Words>14928</Words>
  <Characters>85090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Development Bank Of SA</Company>
  <LinksUpToDate>false</LinksUpToDate>
  <CharactersWithSpaces>99819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Absolom Ngcobo</cp:lastModifiedBy>
  <cp:revision>4</cp:revision>
  <cp:lastPrinted>2015-03-26T21:34:00Z</cp:lastPrinted>
  <dcterms:created xsi:type="dcterms:W3CDTF">2019-03-19T14:34:00Z</dcterms:created>
  <dcterms:modified xsi:type="dcterms:W3CDTF">2019-03-19T20:50:00Z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0x01010020979C984BFDDB4495B0FDA26180230A</vt:lpwstr>
  </property>
</Properties>
</file>