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bCs/>
          <w:lang w:val="en-ZA" w:eastAsia="en-US"/>
        </w:rPr>
        <w:id w:val="-2010515807"/>
        <w:docPartObj>
          <w:docPartGallery w:val="Cover Pages"/>
          <w:docPartUnique/>
        </w:docPartObj>
      </w:sdtPr>
      <w:sdtEndPr>
        <w:rPr>
          <w:b w:val="0"/>
          <w:bCs w:val="0"/>
          <w:color w:val="000000" w:themeColor="text1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16"/>
          </w:tblGrid>
          <w:tr w:rsidR="00000732" w:rsidTr="00E55D11">
            <w:tc>
              <w:tcPr>
                <w:tcW w:w="5545" w:type="dxa"/>
              </w:tcPr>
              <w:p w:rsidR="00000732" w:rsidRDefault="00000732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E55D11" w:rsidRPr="00114873" w:rsidRDefault="00DC4E58">
          <w:pPr>
            <w:rPr>
              <w:color w:val="000000" w:themeColor="text1"/>
            </w:rPr>
          </w:pPr>
          <w:r w:rsidRPr="00114873">
            <w:rPr>
              <w:color w:val="000000" w:themeColor="text1"/>
            </w:rPr>
            <w:tab/>
          </w:r>
        </w:p>
        <w:p w:rsidR="000E1FD5" w:rsidRPr="00114873" w:rsidRDefault="000E1FD5" w:rsidP="00E55D11">
          <w:pPr>
            <w:tabs>
              <w:tab w:val="left" w:pos="567"/>
              <w:tab w:val="left" w:pos="1418"/>
              <w:tab w:val="left" w:pos="1985"/>
              <w:tab w:val="right" w:pos="9072"/>
            </w:tabs>
            <w:spacing w:after="0" w:line="264" w:lineRule="auto"/>
            <w:jc w:val="center"/>
            <w:rPr>
              <w:rFonts w:ascii="Arial" w:eastAsia="Times New Roman" w:hAnsi="Arial" w:cs="Arial"/>
              <w:b/>
              <w:color w:val="000000" w:themeColor="text1"/>
              <w:sz w:val="36"/>
              <w:szCs w:val="56"/>
              <w:lang w:val="en-US"/>
            </w:rPr>
          </w:pPr>
        </w:p>
        <w:p w:rsidR="00390226" w:rsidRDefault="00390226" w:rsidP="00390226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Theme="majorHAnsi" w:hAnsiTheme="majorHAnsi" w:cs="Arial"/>
              <w:b/>
              <w:bCs/>
              <w:sz w:val="72"/>
              <w:szCs w:val="72"/>
            </w:rPr>
          </w:pPr>
          <w:r>
            <w:rPr>
              <w:rFonts w:asciiTheme="majorHAnsi" w:hAnsiTheme="majorHAnsi" w:cs="Arial"/>
              <w:b/>
              <w:bCs/>
              <w:sz w:val="72"/>
              <w:szCs w:val="72"/>
            </w:rPr>
            <w:t>INKOSI LANGALIBALELE MUNICIPALITY</w:t>
          </w:r>
        </w:p>
        <w:p w:rsidR="00390226" w:rsidRDefault="00390226" w:rsidP="00390226">
          <w:pPr>
            <w:autoSpaceDE w:val="0"/>
            <w:autoSpaceDN w:val="0"/>
            <w:adjustRightInd w:val="0"/>
            <w:spacing w:line="360" w:lineRule="auto"/>
            <w:rPr>
              <w:rFonts w:ascii="Calibri" w:hAnsi="Calibri" w:cs="Arial"/>
              <w:b/>
              <w:bCs/>
            </w:rPr>
          </w:pPr>
        </w:p>
        <w:p w:rsidR="00390226" w:rsidRDefault="00390226" w:rsidP="00390226">
          <w:pPr>
            <w:pStyle w:val="BodyText"/>
            <w:jc w:val="left"/>
            <w:rPr>
              <w:rFonts w:ascii="Calibri" w:hAnsi="Calibri"/>
              <w:sz w:val="22"/>
              <w:szCs w:val="22"/>
              <w:u w:val="single"/>
            </w:rPr>
          </w:pPr>
        </w:p>
        <w:p w:rsidR="00390226" w:rsidRDefault="00390226" w:rsidP="00390226">
          <w:pPr>
            <w:jc w:val="center"/>
            <w:rPr>
              <w:rFonts w:ascii="Aharoni" w:hAnsi="Aharoni" w:cs="Aharoni"/>
              <w:b/>
              <w:sz w:val="72"/>
              <w:szCs w:val="72"/>
            </w:rPr>
          </w:pPr>
          <w:r>
            <w:rPr>
              <w:rFonts w:ascii="Aharoni" w:hAnsi="Aharoni" w:cs="Aharoni"/>
              <w:b/>
              <w:noProof/>
              <w:sz w:val="72"/>
              <w:szCs w:val="72"/>
              <w:lang w:eastAsia="en-ZA"/>
            </w:rPr>
            <w:drawing>
              <wp:inline distT="0" distB="0" distL="0" distR="0">
                <wp:extent cx="3575685" cy="278384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685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0226" w:rsidRDefault="00390226" w:rsidP="00390226">
          <w:pPr>
            <w:rPr>
              <w:rFonts w:ascii="Aharoni" w:hAnsi="Aharoni" w:cs="Aharoni"/>
              <w:b/>
              <w:sz w:val="72"/>
              <w:szCs w:val="72"/>
            </w:rPr>
          </w:pPr>
        </w:p>
        <w:p w:rsidR="00390226" w:rsidRDefault="00390226" w:rsidP="00390226">
          <w:pPr>
            <w:jc w:val="center"/>
            <w:rPr>
              <w:rFonts w:ascii="Cambria" w:hAnsi="Cambria" w:cs="Aharoni"/>
              <w:b/>
              <w:sz w:val="72"/>
              <w:szCs w:val="72"/>
            </w:rPr>
          </w:pPr>
          <w:r>
            <w:rPr>
              <w:rFonts w:ascii="Cambria" w:hAnsi="Cambria" w:cs="Aharoni"/>
              <w:b/>
              <w:sz w:val="72"/>
              <w:szCs w:val="72"/>
            </w:rPr>
            <w:t>FUNDING AND RESERVES POLICY</w:t>
          </w:r>
        </w:p>
        <w:p w:rsidR="00390226" w:rsidRDefault="00390226" w:rsidP="00390226">
          <w:pPr>
            <w:jc w:val="center"/>
            <w:rPr>
              <w:rFonts w:ascii="Arial" w:hAnsi="Arial" w:cs="Arial"/>
              <w:b/>
              <w:sz w:val="36"/>
              <w:szCs w:val="32"/>
            </w:rPr>
          </w:pPr>
        </w:p>
        <w:p w:rsidR="00000732" w:rsidRPr="00114873" w:rsidRDefault="00000732" w:rsidP="00390226">
          <w:pPr>
            <w:jc w:val="center"/>
            <w:rPr>
              <w:color w:val="000000" w:themeColor="text1"/>
            </w:rPr>
          </w:pPr>
          <w:r w:rsidRPr="00114873">
            <w:rPr>
              <w:color w:val="000000" w:themeColor="text1"/>
            </w:rPr>
            <w:br w:type="page"/>
          </w:r>
        </w:p>
      </w:sdtContent>
    </w:sdt>
    <w:p w:rsidR="0084585B" w:rsidRPr="008D7023" w:rsidRDefault="0084585B" w:rsidP="0039022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lastRenderedPageBreak/>
        <w:t>INDEX</w:t>
      </w:r>
    </w:p>
    <w:p w:rsidR="00CC46D6" w:rsidRPr="008D7023" w:rsidRDefault="001F3F94" w:rsidP="00CC46D6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DEFINITIONS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2</w:t>
      </w:r>
    </w:p>
    <w:p w:rsidR="00CC46D6" w:rsidRPr="008D7023" w:rsidRDefault="00CC46D6" w:rsidP="00CC46D6">
      <w:pPr>
        <w:pStyle w:val="ListParagraph"/>
        <w:jc w:val="both"/>
        <w:rPr>
          <w:rFonts w:ascii="Arial" w:hAnsi="Arial" w:cs="Arial"/>
          <w:bCs/>
          <w:color w:val="000000" w:themeColor="text1"/>
        </w:rPr>
      </w:pPr>
    </w:p>
    <w:p w:rsidR="00000732" w:rsidRPr="008D7023" w:rsidRDefault="0084585B" w:rsidP="00CC46D6">
      <w:pPr>
        <w:pStyle w:val="ListParagraph"/>
        <w:numPr>
          <w:ilvl w:val="0"/>
          <w:numId w:val="32"/>
        </w:numPr>
        <w:spacing w:line="360" w:lineRule="auto"/>
        <w:ind w:hanging="720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 xml:space="preserve">PREAMBLE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2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3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POLICY OBJECTIVES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2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4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="00000732" w:rsidRPr="008D7023">
        <w:rPr>
          <w:rFonts w:ascii="Arial" w:hAnsi="Arial" w:cs="Arial"/>
          <w:bCs/>
          <w:color w:val="000000" w:themeColor="text1"/>
        </w:rPr>
        <w:t xml:space="preserve"> 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000732" w:rsidRPr="008D7023">
        <w:rPr>
          <w:rFonts w:ascii="Arial" w:hAnsi="Arial" w:cs="Arial"/>
          <w:bCs/>
          <w:color w:val="000000" w:themeColor="text1"/>
        </w:rPr>
        <w:t xml:space="preserve">SCOPE OF </w:t>
      </w:r>
      <w:r w:rsidR="0084585B" w:rsidRPr="008D7023">
        <w:rPr>
          <w:rFonts w:ascii="Arial" w:hAnsi="Arial" w:cs="Arial"/>
          <w:bCs/>
          <w:color w:val="000000" w:themeColor="text1"/>
        </w:rPr>
        <w:t>POLICY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2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5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APPLICABLE LEGISLATION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3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6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000732" w:rsidRPr="008D7023">
        <w:rPr>
          <w:rFonts w:ascii="Arial" w:hAnsi="Arial" w:cs="Arial"/>
          <w:bCs/>
          <w:color w:val="000000" w:themeColor="text1"/>
        </w:rPr>
        <w:t>FUNDING OF AN</w:t>
      </w:r>
      <w:r w:rsidR="0084585B" w:rsidRPr="008D7023">
        <w:rPr>
          <w:rFonts w:ascii="Arial" w:hAnsi="Arial" w:cs="Arial"/>
          <w:bCs/>
          <w:color w:val="000000" w:themeColor="text1"/>
        </w:rPr>
        <w:t xml:space="preserve">NUAL BUDGET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3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7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CASH MANAGEMENT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3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8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="00000732" w:rsidRPr="008D7023">
        <w:rPr>
          <w:rFonts w:ascii="Arial" w:hAnsi="Arial" w:cs="Arial"/>
          <w:bCs/>
          <w:color w:val="000000" w:themeColor="text1"/>
        </w:rPr>
        <w:t xml:space="preserve"> 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000732" w:rsidRPr="008D7023">
        <w:rPr>
          <w:rFonts w:ascii="Arial" w:hAnsi="Arial" w:cs="Arial"/>
          <w:bCs/>
          <w:color w:val="000000" w:themeColor="text1"/>
        </w:rPr>
        <w:t>D</w:t>
      </w:r>
      <w:r w:rsidR="0084585B" w:rsidRPr="008D7023">
        <w:rPr>
          <w:rFonts w:ascii="Arial" w:hAnsi="Arial" w:cs="Arial"/>
          <w:bCs/>
          <w:color w:val="000000" w:themeColor="text1"/>
        </w:rPr>
        <w:t xml:space="preserve">EBT MANAGEMENT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4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9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OPERATING BUDGET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4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10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CAPITAL BUDGET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6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11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RESERVES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8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12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84585B" w:rsidRPr="008D7023">
        <w:rPr>
          <w:rFonts w:ascii="Arial" w:hAnsi="Arial" w:cs="Arial"/>
          <w:bCs/>
          <w:color w:val="000000" w:themeColor="text1"/>
        </w:rPr>
        <w:t xml:space="preserve">PROVISIONS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9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13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000732" w:rsidRPr="008D7023">
        <w:rPr>
          <w:rFonts w:ascii="Arial" w:hAnsi="Arial" w:cs="Arial"/>
          <w:bCs/>
          <w:color w:val="000000" w:themeColor="text1"/>
        </w:rPr>
        <w:t>OTHER</w:t>
      </w:r>
      <w:r w:rsidR="0084585B" w:rsidRPr="008D7023">
        <w:rPr>
          <w:rFonts w:ascii="Arial" w:hAnsi="Arial" w:cs="Arial"/>
          <w:bCs/>
          <w:color w:val="000000" w:themeColor="text1"/>
        </w:rPr>
        <w:t xml:space="preserve"> ITEMS TO BE CASHED BACK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10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14</w:t>
      </w:r>
      <w:r w:rsidR="0084585B" w:rsidRPr="008D7023">
        <w:rPr>
          <w:rFonts w:ascii="Arial" w:hAnsi="Arial" w:cs="Arial"/>
          <w:bCs/>
          <w:color w:val="000000" w:themeColor="text1"/>
        </w:rPr>
        <w:t>.</w:t>
      </w:r>
      <w:r w:rsidRPr="008D7023">
        <w:rPr>
          <w:rFonts w:ascii="Arial" w:hAnsi="Arial" w:cs="Arial"/>
          <w:bCs/>
          <w:color w:val="000000" w:themeColor="text1"/>
        </w:rPr>
        <w:tab/>
      </w:r>
      <w:r w:rsidR="00000732" w:rsidRPr="008D7023">
        <w:rPr>
          <w:rFonts w:ascii="Arial" w:hAnsi="Arial" w:cs="Arial"/>
          <w:bCs/>
          <w:color w:val="000000" w:themeColor="text1"/>
        </w:rPr>
        <w:t>IMPLEMENTA</w:t>
      </w:r>
      <w:r w:rsidR="0084585B" w:rsidRPr="008D7023">
        <w:rPr>
          <w:rFonts w:ascii="Arial" w:hAnsi="Arial" w:cs="Arial"/>
          <w:bCs/>
          <w:color w:val="000000" w:themeColor="text1"/>
        </w:rPr>
        <w:t xml:space="preserve">TION AND REVIEW OF THE POLICY 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11</w:t>
      </w:r>
    </w:p>
    <w:p w:rsidR="001F3F94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15.</w:t>
      </w:r>
      <w:r w:rsidRPr="008D7023">
        <w:rPr>
          <w:rFonts w:ascii="Arial" w:hAnsi="Arial" w:cs="Arial"/>
          <w:bCs/>
          <w:color w:val="000000" w:themeColor="text1"/>
        </w:rPr>
        <w:tab/>
        <w:t>COMPLIANCE AND ENFORCEMENT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11</w:t>
      </w:r>
    </w:p>
    <w:p w:rsidR="001F3F94" w:rsidRPr="008D7023" w:rsidRDefault="001F3F94" w:rsidP="009E438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Cs/>
          <w:color w:val="000000" w:themeColor="text1"/>
        </w:rPr>
        <w:t>16.</w:t>
      </w:r>
      <w:r w:rsidRPr="008D7023">
        <w:rPr>
          <w:rFonts w:ascii="Arial" w:hAnsi="Arial" w:cs="Arial"/>
          <w:bCs/>
          <w:color w:val="000000" w:themeColor="text1"/>
        </w:rPr>
        <w:tab/>
        <w:t>EFFECTIVE DATE</w:t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</w:r>
      <w:r w:rsidR="003104DB" w:rsidRPr="008D7023">
        <w:rPr>
          <w:rFonts w:ascii="Arial" w:hAnsi="Arial" w:cs="Arial"/>
          <w:bCs/>
          <w:color w:val="000000" w:themeColor="text1"/>
        </w:rPr>
        <w:tab/>
        <w:t>11</w:t>
      </w:r>
    </w:p>
    <w:p w:rsidR="00000732" w:rsidRPr="008D7023" w:rsidRDefault="001F3F94" w:rsidP="009E438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17.</w:t>
      </w:r>
      <w:r w:rsidRPr="008D7023">
        <w:rPr>
          <w:rFonts w:ascii="Arial" w:hAnsi="Arial" w:cs="Arial"/>
          <w:color w:val="000000" w:themeColor="text1"/>
        </w:rPr>
        <w:tab/>
        <w:t>POLICY ADOPTION</w:t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</w:r>
      <w:r w:rsidR="003104DB" w:rsidRPr="008D7023">
        <w:rPr>
          <w:rFonts w:ascii="Arial" w:hAnsi="Arial" w:cs="Arial"/>
          <w:color w:val="000000" w:themeColor="text1"/>
        </w:rPr>
        <w:tab/>
        <w:t>12</w:t>
      </w:r>
    </w:p>
    <w:p w:rsidR="00000732" w:rsidRPr="008D7023" w:rsidRDefault="00000732" w:rsidP="00000732">
      <w:pPr>
        <w:rPr>
          <w:rFonts w:ascii="Arial" w:hAnsi="Arial" w:cs="Arial"/>
          <w:color w:val="000000" w:themeColor="text1"/>
        </w:rPr>
      </w:pPr>
    </w:p>
    <w:p w:rsidR="00000732" w:rsidRPr="008D7023" w:rsidRDefault="00000732" w:rsidP="00000732">
      <w:pPr>
        <w:rPr>
          <w:rFonts w:ascii="Arial" w:hAnsi="Arial" w:cs="Arial"/>
          <w:color w:val="000000" w:themeColor="text1"/>
        </w:rPr>
      </w:pPr>
    </w:p>
    <w:p w:rsidR="00000732" w:rsidRPr="008D7023" w:rsidRDefault="00000732" w:rsidP="00000732">
      <w:pPr>
        <w:rPr>
          <w:rFonts w:ascii="Arial" w:hAnsi="Arial" w:cs="Arial"/>
          <w:color w:val="000000" w:themeColor="text1"/>
        </w:rPr>
      </w:pPr>
    </w:p>
    <w:p w:rsidR="00000732" w:rsidRPr="008D7023" w:rsidRDefault="00000732" w:rsidP="00000732">
      <w:pPr>
        <w:rPr>
          <w:rFonts w:ascii="Arial" w:hAnsi="Arial" w:cs="Arial"/>
          <w:color w:val="000000" w:themeColor="text1"/>
        </w:rPr>
      </w:pPr>
    </w:p>
    <w:p w:rsidR="00000732" w:rsidRPr="008D7023" w:rsidRDefault="00000732" w:rsidP="00000732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:rsidR="00461C93" w:rsidRPr="008D7023" w:rsidRDefault="00461C93" w:rsidP="00000732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:rsidR="00461C93" w:rsidRPr="008D7023" w:rsidRDefault="00461C93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DEFINITIONS</w:t>
      </w:r>
    </w:p>
    <w:p w:rsidR="004C48FB" w:rsidRPr="008D7023" w:rsidRDefault="004C48FB" w:rsidP="004C48FB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bCs/>
          <w:color w:val="000000" w:themeColor="text1"/>
        </w:rPr>
      </w:pPr>
    </w:p>
    <w:p w:rsidR="004C48FB" w:rsidRPr="008D7023" w:rsidRDefault="004C48FB" w:rsidP="004C48FB">
      <w:pPr>
        <w:ind w:left="709"/>
        <w:rPr>
          <w:rFonts w:ascii="Arial" w:hAnsi="Arial" w:cs="Arial"/>
          <w:b/>
          <w:bCs/>
          <w:i/>
          <w:i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lastRenderedPageBreak/>
        <w:t xml:space="preserve">‘’Accounting Officer’’ </w:t>
      </w:r>
      <w:r w:rsidRPr="008D7023">
        <w:rPr>
          <w:rFonts w:ascii="Arial" w:hAnsi="Arial" w:cs="Arial"/>
          <w:bCs/>
          <w:color w:val="000000" w:themeColor="text1"/>
        </w:rPr>
        <w:t>means the</w:t>
      </w:r>
      <w:r w:rsidR="00551040" w:rsidRPr="008D7023">
        <w:rPr>
          <w:rFonts w:ascii="Arial" w:hAnsi="Arial" w:cs="Arial"/>
          <w:bCs/>
          <w:color w:val="000000" w:themeColor="text1"/>
        </w:rPr>
        <w:t xml:space="preserve"> Municipal Manager of KZN237</w:t>
      </w:r>
      <w:r w:rsidRPr="008D7023">
        <w:rPr>
          <w:rFonts w:ascii="Arial" w:hAnsi="Arial" w:cs="Arial"/>
          <w:bCs/>
          <w:color w:val="000000" w:themeColor="text1"/>
        </w:rPr>
        <w:t xml:space="preserve"> Municipality</w:t>
      </w:r>
    </w:p>
    <w:p w:rsidR="004C48FB" w:rsidRPr="008D7023" w:rsidRDefault="004C48FB" w:rsidP="004C48F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 xml:space="preserve">‘’Chief Financial Officer’’ </w:t>
      </w:r>
      <w:r w:rsidRPr="008D7023">
        <w:rPr>
          <w:rFonts w:ascii="Arial" w:hAnsi="Arial" w:cs="Arial"/>
          <w:bCs/>
          <w:color w:val="000000" w:themeColor="text1"/>
        </w:rPr>
        <w:t>means the Chief</w:t>
      </w:r>
      <w:r w:rsidR="00551040" w:rsidRPr="008D7023">
        <w:rPr>
          <w:rFonts w:ascii="Arial" w:hAnsi="Arial" w:cs="Arial"/>
          <w:bCs/>
          <w:color w:val="000000" w:themeColor="text1"/>
        </w:rPr>
        <w:t xml:space="preserve"> Financial Officer of KZN237</w:t>
      </w:r>
      <w:r w:rsidRPr="008D7023">
        <w:rPr>
          <w:rFonts w:ascii="Arial" w:hAnsi="Arial" w:cs="Arial"/>
          <w:bCs/>
          <w:color w:val="000000" w:themeColor="text1"/>
        </w:rPr>
        <w:t xml:space="preserve"> Municipality</w:t>
      </w:r>
    </w:p>
    <w:p w:rsidR="004C48FB" w:rsidRPr="008D7023" w:rsidRDefault="004C48FB" w:rsidP="004C48F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:rsidR="004C48FB" w:rsidRPr="008D7023" w:rsidRDefault="004C48FB" w:rsidP="004C48F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‘’MFMA’’</w:t>
      </w:r>
      <w:r w:rsidRPr="008D7023">
        <w:rPr>
          <w:rFonts w:ascii="Arial" w:hAnsi="Arial" w:cs="Arial"/>
          <w:bCs/>
          <w:color w:val="000000" w:themeColor="text1"/>
        </w:rPr>
        <w:t xml:space="preserve"> means the Municipal Financial Management Act, 2003 (Act No 56 of 2003)</w:t>
      </w:r>
    </w:p>
    <w:p w:rsidR="00461C93" w:rsidRPr="008D7023" w:rsidRDefault="00461C93" w:rsidP="00461C93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bCs/>
          <w:color w:val="000000" w:themeColor="text1"/>
        </w:rPr>
      </w:pPr>
    </w:p>
    <w:p w:rsidR="00461C93" w:rsidRPr="008D7023" w:rsidRDefault="00461C93" w:rsidP="00461C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 xml:space="preserve">‘’Municipality’’ </w:t>
      </w:r>
      <w:r w:rsidRPr="008D7023">
        <w:rPr>
          <w:rFonts w:ascii="Arial" w:hAnsi="Arial" w:cs="Arial"/>
          <w:bCs/>
          <w:color w:val="000000" w:themeColor="text1"/>
        </w:rPr>
        <w:t xml:space="preserve">means </w:t>
      </w:r>
      <w:r w:rsidR="00551040" w:rsidRPr="008D7023">
        <w:rPr>
          <w:rFonts w:ascii="Arial" w:hAnsi="Arial" w:cs="Arial"/>
          <w:bCs/>
          <w:color w:val="000000" w:themeColor="text1"/>
        </w:rPr>
        <w:t>KZN237</w:t>
      </w:r>
      <w:r w:rsidRPr="008D7023">
        <w:rPr>
          <w:rFonts w:ascii="Arial" w:hAnsi="Arial" w:cs="Arial"/>
          <w:bCs/>
          <w:color w:val="000000" w:themeColor="text1"/>
        </w:rPr>
        <w:t xml:space="preserve"> Local Municipality</w:t>
      </w:r>
    </w:p>
    <w:p w:rsidR="00461C93" w:rsidRPr="008D7023" w:rsidRDefault="00461C93" w:rsidP="004C48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</w:p>
    <w:p w:rsidR="00461C93" w:rsidRPr="008D7023" w:rsidRDefault="00461C93" w:rsidP="00461C9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‘’GRAP’’</w:t>
      </w:r>
      <w:r w:rsidRPr="008D7023">
        <w:rPr>
          <w:rFonts w:ascii="Arial" w:hAnsi="Arial" w:cs="Arial"/>
          <w:bCs/>
          <w:color w:val="000000" w:themeColor="text1"/>
        </w:rPr>
        <w:t xml:space="preserve"> means Generally Recognised Accounting Practices standards.</w:t>
      </w:r>
    </w:p>
    <w:p w:rsidR="00000732" w:rsidRPr="008D7023" w:rsidRDefault="00000732" w:rsidP="00000732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PREAMBLE</w:t>
      </w:r>
    </w:p>
    <w:p w:rsidR="00461C93" w:rsidRPr="008D7023" w:rsidRDefault="00461C93" w:rsidP="00461C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461C93" w:rsidRPr="008D7023" w:rsidRDefault="00461C93" w:rsidP="00461C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The </w:t>
      </w:r>
      <w:r w:rsidR="00BB1C6E" w:rsidRPr="008D7023">
        <w:rPr>
          <w:rFonts w:ascii="Arial" w:hAnsi="Arial" w:cs="Arial"/>
          <w:color w:val="000000" w:themeColor="text1"/>
        </w:rPr>
        <w:t>F</w:t>
      </w:r>
      <w:r w:rsidRPr="008D7023">
        <w:rPr>
          <w:rFonts w:ascii="Arial" w:hAnsi="Arial" w:cs="Arial"/>
          <w:color w:val="000000" w:themeColor="text1"/>
        </w:rPr>
        <w:t xml:space="preserve">unding and </w:t>
      </w:r>
      <w:r w:rsidR="00BB1C6E" w:rsidRPr="008D7023">
        <w:rPr>
          <w:rFonts w:ascii="Arial" w:hAnsi="Arial" w:cs="Arial"/>
          <w:color w:val="000000" w:themeColor="text1"/>
        </w:rPr>
        <w:t>R</w:t>
      </w:r>
      <w:r w:rsidRPr="008D7023">
        <w:rPr>
          <w:rFonts w:ascii="Arial" w:hAnsi="Arial" w:cs="Arial"/>
          <w:color w:val="000000" w:themeColor="text1"/>
        </w:rPr>
        <w:t xml:space="preserve">eserves </w:t>
      </w:r>
      <w:r w:rsidR="00BB1C6E" w:rsidRPr="008D7023">
        <w:rPr>
          <w:rFonts w:ascii="Arial" w:hAnsi="Arial" w:cs="Arial"/>
          <w:color w:val="000000" w:themeColor="text1"/>
        </w:rPr>
        <w:t>P</w:t>
      </w:r>
      <w:r w:rsidRPr="008D7023">
        <w:rPr>
          <w:rFonts w:ascii="Arial" w:hAnsi="Arial" w:cs="Arial"/>
          <w:color w:val="000000" w:themeColor="text1"/>
        </w:rPr>
        <w:t>olicy is aimed at ensuring that the municipality has sufficient and</w:t>
      </w:r>
      <w:r w:rsidR="00BB1C6E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cost-effective funding in order to achieve its objectives through the implementation of its</w:t>
      </w:r>
      <w:r w:rsidR="00BB1C6E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operating and capital budgets.</w:t>
      </w:r>
    </w:p>
    <w:p w:rsidR="00000732" w:rsidRPr="008D7023" w:rsidRDefault="00000732" w:rsidP="00DA6A05">
      <w:pPr>
        <w:pStyle w:val="ListParagraph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This </w:t>
      </w:r>
      <w:r w:rsidR="00BB1C6E" w:rsidRPr="008D7023">
        <w:rPr>
          <w:rFonts w:ascii="Arial" w:hAnsi="Arial" w:cs="Arial"/>
          <w:color w:val="000000" w:themeColor="text1"/>
        </w:rPr>
        <w:t>P</w:t>
      </w:r>
      <w:r w:rsidRPr="008D7023">
        <w:rPr>
          <w:rFonts w:ascii="Arial" w:hAnsi="Arial" w:cs="Arial"/>
          <w:color w:val="000000" w:themeColor="text1"/>
        </w:rPr>
        <w:t>olicy aims to set guidelines towards ensuring financial viability over both the short- and</w:t>
      </w:r>
      <w:r w:rsidR="00BB1C6E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long-term which includes reserves requirements.</w:t>
      </w:r>
    </w:p>
    <w:p w:rsidR="0046756D" w:rsidRPr="008D7023" w:rsidRDefault="0046756D" w:rsidP="0046756D">
      <w:pPr>
        <w:pStyle w:val="ListParagraph"/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C8276B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POLICY OBJECTIVES</w:t>
      </w:r>
    </w:p>
    <w:p w:rsidR="00F146EA" w:rsidRPr="008D7023" w:rsidRDefault="00F146EA" w:rsidP="00F146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F146EA" w:rsidRPr="008D7023" w:rsidRDefault="00F146EA" w:rsidP="00F146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F146EA" w:rsidRPr="008D7023" w:rsidRDefault="00F146EA" w:rsidP="00F146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F146EA">
      <w:pPr>
        <w:pStyle w:val="ListParagraph"/>
        <w:numPr>
          <w:ilvl w:val="1"/>
          <w:numId w:val="6"/>
        </w:numPr>
        <w:spacing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objectives of the policy are to:</w:t>
      </w:r>
    </w:p>
    <w:p w:rsidR="00000732" w:rsidRPr="008D7023" w:rsidRDefault="00392199" w:rsidP="0046756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3</w:t>
      </w:r>
      <w:r w:rsidR="00000732" w:rsidRPr="008D7023">
        <w:rPr>
          <w:rFonts w:ascii="Arial" w:hAnsi="Arial" w:cs="Arial"/>
          <w:color w:val="000000" w:themeColor="text1"/>
        </w:rPr>
        <w:t>.1.1</w:t>
      </w:r>
      <w:r w:rsidR="00C8276B"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Ensure that the Medium Term Expenditure Framework (annual budget) of the</w:t>
      </w:r>
      <w:r w:rsidR="0046756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municipality is appropriately funded.</w:t>
      </w:r>
    </w:p>
    <w:p w:rsidR="00000732" w:rsidRPr="008D7023" w:rsidRDefault="00392199" w:rsidP="0046756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3</w:t>
      </w:r>
      <w:r w:rsidR="00000732" w:rsidRPr="008D7023">
        <w:rPr>
          <w:rFonts w:ascii="Arial" w:hAnsi="Arial" w:cs="Arial"/>
          <w:color w:val="000000" w:themeColor="text1"/>
        </w:rPr>
        <w:t xml:space="preserve">.1.2 </w:t>
      </w:r>
      <w:r w:rsidR="00C8276B"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Ensure that cash resources and reserves are maintained at the required levels to</w:t>
      </w:r>
      <w:r w:rsidR="0046756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avoid future year unfunded liabilities.</w:t>
      </w:r>
    </w:p>
    <w:p w:rsidR="00C8276B" w:rsidRPr="008D7023" w:rsidRDefault="00392199" w:rsidP="0046756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3</w:t>
      </w:r>
      <w:r w:rsidR="00000732" w:rsidRPr="008D7023">
        <w:rPr>
          <w:rFonts w:ascii="Arial" w:hAnsi="Arial" w:cs="Arial"/>
          <w:color w:val="000000" w:themeColor="text1"/>
        </w:rPr>
        <w:t>.1.3</w:t>
      </w:r>
      <w:r w:rsidR="00C8276B"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 xml:space="preserve"> To achieve financial sustainability with acceptable levels of service delivery to the</w:t>
      </w:r>
      <w:r w:rsidR="0046756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community.</w:t>
      </w:r>
    </w:p>
    <w:p w:rsidR="0046756D" w:rsidRPr="008D7023" w:rsidRDefault="0046756D" w:rsidP="0046756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</w:p>
    <w:p w:rsidR="00C8276B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SCOPE OF THE POLICY</w:t>
      </w:r>
    </w:p>
    <w:p w:rsidR="00392199" w:rsidRPr="008D7023" w:rsidRDefault="00392199" w:rsidP="003921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C8276B" w:rsidRPr="008D7023" w:rsidRDefault="00000732" w:rsidP="00392199">
      <w:pPr>
        <w:pStyle w:val="ListParagraph"/>
        <w:numPr>
          <w:ilvl w:val="1"/>
          <w:numId w:val="6"/>
        </w:numPr>
        <w:spacing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This </w:t>
      </w:r>
      <w:r w:rsidR="0046756D" w:rsidRPr="008D7023">
        <w:rPr>
          <w:rFonts w:ascii="Arial" w:hAnsi="Arial" w:cs="Arial"/>
          <w:color w:val="000000" w:themeColor="text1"/>
        </w:rPr>
        <w:t>P</w:t>
      </w:r>
      <w:r w:rsidRPr="008D7023">
        <w:rPr>
          <w:rFonts w:ascii="Arial" w:hAnsi="Arial" w:cs="Arial"/>
          <w:color w:val="000000" w:themeColor="text1"/>
        </w:rPr>
        <w:t xml:space="preserve">olicy shall apply to the Council, </w:t>
      </w:r>
      <w:proofErr w:type="spellStart"/>
      <w:r w:rsidRPr="008D7023">
        <w:rPr>
          <w:rFonts w:ascii="Arial" w:hAnsi="Arial" w:cs="Arial"/>
          <w:color w:val="000000" w:themeColor="text1"/>
        </w:rPr>
        <w:t>Exco</w:t>
      </w:r>
      <w:proofErr w:type="spellEnd"/>
      <w:r w:rsidRPr="008D7023">
        <w:rPr>
          <w:rFonts w:ascii="Arial" w:hAnsi="Arial" w:cs="Arial"/>
          <w:color w:val="000000" w:themeColor="text1"/>
        </w:rPr>
        <w:t>, Finance Portfolio Committee, Budget Steering</w:t>
      </w:r>
      <w:r w:rsidR="00347362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Committee, Accounting Officer, Strategic Executive Directors and all staff of the </w:t>
      </w:r>
      <w:r w:rsidR="00347362" w:rsidRPr="008D7023">
        <w:rPr>
          <w:rFonts w:ascii="Arial" w:hAnsi="Arial" w:cs="Arial"/>
          <w:color w:val="000000" w:themeColor="text1"/>
        </w:rPr>
        <w:t>M</w:t>
      </w:r>
      <w:r w:rsidRPr="008D7023">
        <w:rPr>
          <w:rFonts w:ascii="Arial" w:hAnsi="Arial" w:cs="Arial"/>
          <w:color w:val="000000" w:themeColor="text1"/>
        </w:rPr>
        <w:t>unicipal</w:t>
      </w:r>
      <w:r w:rsidR="00347362" w:rsidRPr="008D7023">
        <w:rPr>
          <w:rFonts w:ascii="Arial" w:hAnsi="Arial" w:cs="Arial"/>
          <w:color w:val="000000" w:themeColor="text1"/>
        </w:rPr>
        <w:t xml:space="preserve"> C</w:t>
      </w:r>
      <w:r w:rsidRPr="008D7023">
        <w:rPr>
          <w:rFonts w:ascii="Arial" w:hAnsi="Arial" w:cs="Arial"/>
          <w:color w:val="000000" w:themeColor="text1"/>
        </w:rPr>
        <w:t xml:space="preserve">ouncil. It is, however, specifically applicable to the </w:t>
      </w:r>
      <w:r w:rsidR="00347362" w:rsidRPr="008D7023">
        <w:rPr>
          <w:rFonts w:ascii="Arial" w:hAnsi="Arial" w:cs="Arial"/>
          <w:color w:val="000000" w:themeColor="text1"/>
        </w:rPr>
        <w:t>C</w:t>
      </w:r>
      <w:r w:rsidRPr="008D7023">
        <w:rPr>
          <w:rFonts w:ascii="Arial" w:hAnsi="Arial" w:cs="Arial"/>
          <w:color w:val="000000" w:themeColor="text1"/>
        </w:rPr>
        <w:t>ouncil and all officials who have a</w:t>
      </w:r>
      <w:r w:rsidR="00347362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formal, administrative duty to prepare, manage and control the municipal’s budget and</w:t>
      </w:r>
      <w:r w:rsidR="00347362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expenditure.</w:t>
      </w:r>
    </w:p>
    <w:p w:rsidR="00CD4376" w:rsidRPr="008D7023" w:rsidRDefault="00CD4376" w:rsidP="00CD4376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3104DB" w:rsidRPr="008D7023" w:rsidRDefault="003104DB" w:rsidP="00CD4376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C8276B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APPLICABLE LEGISLATIVE</w:t>
      </w:r>
    </w:p>
    <w:p w:rsidR="00C927A5" w:rsidRPr="008D7023" w:rsidRDefault="00C927A5" w:rsidP="00C92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C927A5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legislative framework governing borrowings are:</w:t>
      </w:r>
    </w:p>
    <w:p w:rsidR="00000732" w:rsidRPr="008D7023" w:rsidRDefault="00C927A5" w:rsidP="00CD4376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5</w:t>
      </w:r>
      <w:r w:rsidR="00000732" w:rsidRPr="008D7023">
        <w:rPr>
          <w:rFonts w:ascii="Arial" w:hAnsi="Arial" w:cs="Arial"/>
          <w:color w:val="000000" w:themeColor="text1"/>
        </w:rPr>
        <w:t>.1.1</w:t>
      </w:r>
      <w:r w:rsidR="00C8276B"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Local Government Municipal Finance Management Act, Act 56 of 2003; and</w:t>
      </w:r>
    </w:p>
    <w:p w:rsidR="008904D1" w:rsidRPr="008D7023" w:rsidRDefault="00C927A5" w:rsidP="003104DB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lastRenderedPageBreak/>
        <w:t>5</w:t>
      </w:r>
      <w:r w:rsidR="00000732" w:rsidRPr="008D7023">
        <w:rPr>
          <w:rFonts w:ascii="Arial" w:hAnsi="Arial" w:cs="Arial"/>
          <w:color w:val="000000" w:themeColor="text1"/>
        </w:rPr>
        <w:t xml:space="preserve">.1.2 </w:t>
      </w:r>
      <w:r w:rsidR="00C8276B"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Local Government Municipal Budget and Reporting Regulation, Regulation 393</w:t>
      </w:r>
      <w:r w:rsidR="00114873" w:rsidRPr="008D7023">
        <w:rPr>
          <w:rFonts w:ascii="Arial" w:hAnsi="Arial" w:cs="Arial"/>
          <w:color w:val="000000" w:themeColor="text1"/>
        </w:rPr>
        <w:t>, published</w:t>
      </w:r>
      <w:r w:rsidR="00000732" w:rsidRPr="008D7023">
        <w:rPr>
          <w:rFonts w:ascii="Arial" w:hAnsi="Arial" w:cs="Arial"/>
          <w:color w:val="000000" w:themeColor="text1"/>
        </w:rPr>
        <w:t xml:space="preserve"> under Government Gazette 32141, 17 April 2009.</w:t>
      </w:r>
    </w:p>
    <w:p w:rsidR="003104DB" w:rsidRPr="008D7023" w:rsidRDefault="003104DB" w:rsidP="003104DB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FUNDING OF ANNUAL BUDGET</w:t>
      </w:r>
    </w:p>
    <w:p w:rsidR="00C927A5" w:rsidRPr="008D7023" w:rsidRDefault="00C927A5" w:rsidP="00C92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C927A5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An annual budget may only be funded from:</w:t>
      </w:r>
    </w:p>
    <w:p w:rsidR="00AB27A4" w:rsidRPr="008D7023" w:rsidRDefault="008904D1" w:rsidP="006F7BBB">
      <w:pPr>
        <w:pStyle w:val="ListParagraph"/>
        <w:numPr>
          <w:ilvl w:val="0"/>
          <w:numId w:val="12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Cash</w:t>
      </w:r>
      <w:r w:rsidR="00000732" w:rsidRPr="008D7023">
        <w:rPr>
          <w:rFonts w:ascii="Arial" w:hAnsi="Arial" w:cs="Arial"/>
          <w:color w:val="000000" w:themeColor="text1"/>
        </w:rPr>
        <w:t xml:space="preserve"> backed accumulated funds from previous </w:t>
      </w:r>
      <w:r w:rsidRPr="008D7023">
        <w:rPr>
          <w:rFonts w:ascii="Arial" w:hAnsi="Arial" w:cs="Arial"/>
          <w:color w:val="000000" w:themeColor="text1"/>
        </w:rPr>
        <w:t>year’s</w:t>
      </w:r>
      <w:r w:rsidR="00000732" w:rsidRPr="008D7023">
        <w:rPr>
          <w:rFonts w:ascii="Arial" w:hAnsi="Arial" w:cs="Arial"/>
          <w:color w:val="000000" w:themeColor="text1"/>
        </w:rPr>
        <w:t xml:space="preserve"> surpluses and reserves</w:t>
      </w:r>
      <w:r w:rsidR="006F7BBB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not committed for any other purpose;</w:t>
      </w:r>
    </w:p>
    <w:p w:rsidR="00000732" w:rsidRPr="008D7023" w:rsidRDefault="006F7BBB" w:rsidP="006F7BBB">
      <w:pPr>
        <w:pStyle w:val="ListParagraph"/>
        <w:numPr>
          <w:ilvl w:val="0"/>
          <w:numId w:val="12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B</w:t>
      </w:r>
      <w:r w:rsidR="00000732" w:rsidRPr="008D7023">
        <w:rPr>
          <w:rFonts w:ascii="Arial" w:hAnsi="Arial" w:cs="Arial"/>
          <w:color w:val="000000" w:themeColor="text1"/>
        </w:rPr>
        <w:t>orrowed funds but only for capital expenditure; and/or</w:t>
      </w:r>
    </w:p>
    <w:p w:rsidR="00AB27A4" w:rsidRPr="008D7023" w:rsidRDefault="00AB27A4" w:rsidP="003104DB">
      <w:pPr>
        <w:pStyle w:val="ListParagraph"/>
        <w:numPr>
          <w:ilvl w:val="0"/>
          <w:numId w:val="12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Grant Fu</w:t>
      </w:r>
      <w:r w:rsidR="00000732" w:rsidRPr="008D7023">
        <w:rPr>
          <w:rFonts w:ascii="Arial" w:hAnsi="Arial" w:cs="Arial"/>
          <w:color w:val="000000" w:themeColor="text1"/>
        </w:rPr>
        <w:t>nding.</w:t>
      </w:r>
    </w:p>
    <w:p w:rsidR="003104DB" w:rsidRPr="008D7023" w:rsidRDefault="003104DB" w:rsidP="003104DB">
      <w:pPr>
        <w:pStyle w:val="ListParagraph"/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0332E7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Realistic anticipated revenue projections must take into account:</w:t>
      </w:r>
    </w:p>
    <w:p w:rsidR="00000732" w:rsidRPr="008D7023" w:rsidRDefault="006F7BBB" w:rsidP="006F7BBB">
      <w:pPr>
        <w:pStyle w:val="ListParagraph"/>
        <w:numPr>
          <w:ilvl w:val="0"/>
          <w:numId w:val="13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</w:t>
      </w:r>
      <w:r w:rsidR="00000732" w:rsidRPr="008D7023">
        <w:rPr>
          <w:rFonts w:ascii="Arial" w:hAnsi="Arial" w:cs="Arial"/>
          <w:color w:val="000000" w:themeColor="text1"/>
        </w:rPr>
        <w:t>rojected revenue for the current year based on collection levels to date.</w:t>
      </w:r>
    </w:p>
    <w:p w:rsidR="00AB27A4" w:rsidRPr="008D7023" w:rsidRDefault="006F7BBB" w:rsidP="003104DB">
      <w:pPr>
        <w:pStyle w:val="ListParagraph"/>
        <w:numPr>
          <w:ilvl w:val="0"/>
          <w:numId w:val="13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</w:t>
      </w:r>
      <w:r w:rsidR="00000732" w:rsidRPr="008D7023">
        <w:rPr>
          <w:rFonts w:ascii="Arial" w:hAnsi="Arial" w:cs="Arial"/>
          <w:color w:val="000000" w:themeColor="text1"/>
        </w:rPr>
        <w:t>ctual revenue collected in previous financial years.</w:t>
      </w:r>
    </w:p>
    <w:p w:rsidR="003104DB" w:rsidRPr="008D7023" w:rsidRDefault="003104DB" w:rsidP="003104DB">
      <w:pPr>
        <w:pStyle w:val="ListParagraph"/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0332E7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Capital expenditure may only be incurred on a capital project only if:</w:t>
      </w:r>
    </w:p>
    <w:p w:rsidR="00000732" w:rsidRPr="008D7023" w:rsidRDefault="00000732" w:rsidP="003C70A8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(a)</w:t>
      </w:r>
      <w:r w:rsidR="00AB27A4" w:rsidRPr="008D7023">
        <w:rPr>
          <w:rFonts w:ascii="Arial" w:hAnsi="Arial" w:cs="Arial"/>
          <w:color w:val="000000" w:themeColor="text1"/>
        </w:rPr>
        <w:tab/>
        <w:t>The</w:t>
      </w:r>
      <w:r w:rsidRPr="008D7023">
        <w:rPr>
          <w:rFonts w:ascii="Arial" w:hAnsi="Arial" w:cs="Arial"/>
          <w:color w:val="000000" w:themeColor="text1"/>
        </w:rPr>
        <w:t xml:space="preserve"> funding for the project has been appropriated in the capital budget.</w:t>
      </w:r>
    </w:p>
    <w:p w:rsidR="00000732" w:rsidRPr="008D7023" w:rsidRDefault="00000732" w:rsidP="003C70A8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(b) </w:t>
      </w:r>
      <w:r w:rsidR="00AB27A4" w:rsidRPr="008D7023">
        <w:rPr>
          <w:rFonts w:ascii="Arial" w:hAnsi="Arial" w:cs="Arial"/>
          <w:color w:val="000000" w:themeColor="text1"/>
        </w:rPr>
        <w:tab/>
        <w:t>The</w:t>
      </w:r>
      <w:r w:rsidRPr="008D7023">
        <w:rPr>
          <w:rFonts w:ascii="Arial" w:hAnsi="Arial" w:cs="Arial"/>
          <w:color w:val="000000" w:themeColor="text1"/>
        </w:rPr>
        <w:t xml:space="preserve"> total cost for the project has been approved by Council.</w:t>
      </w:r>
    </w:p>
    <w:p w:rsidR="00000732" w:rsidRPr="008D7023" w:rsidRDefault="00000732" w:rsidP="003C70A8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(c)</w:t>
      </w:r>
      <w:r w:rsidR="00AB27A4" w:rsidRPr="008D7023">
        <w:rPr>
          <w:rFonts w:ascii="Arial" w:hAnsi="Arial" w:cs="Arial"/>
          <w:color w:val="000000" w:themeColor="text1"/>
        </w:rPr>
        <w:tab/>
        <w:t>The</w:t>
      </w:r>
      <w:r w:rsidRPr="008D7023">
        <w:rPr>
          <w:rFonts w:ascii="Arial" w:hAnsi="Arial" w:cs="Arial"/>
          <w:color w:val="000000" w:themeColor="text1"/>
        </w:rPr>
        <w:t xml:space="preserve"> future budgetary implications and projected cost covering all financial year</w:t>
      </w:r>
      <w:r w:rsidR="003C70A8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until the project is operational has been considered.</w:t>
      </w:r>
    </w:p>
    <w:p w:rsidR="00000732" w:rsidRPr="008D7023" w:rsidRDefault="00000732" w:rsidP="003C70A8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(d) </w:t>
      </w:r>
      <w:r w:rsidR="00AB27A4" w:rsidRPr="008D7023">
        <w:rPr>
          <w:rFonts w:ascii="Arial" w:hAnsi="Arial" w:cs="Arial"/>
          <w:color w:val="000000" w:themeColor="text1"/>
        </w:rPr>
        <w:tab/>
        <w:t>The</w:t>
      </w:r>
      <w:r w:rsidRPr="008D7023">
        <w:rPr>
          <w:rFonts w:ascii="Arial" w:hAnsi="Arial" w:cs="Arial"/>
          <w:color w:val="000000" w:themeColor="text1"/>
        </w:rPr>
        <w:t xml:space="preserve"> implications of the capital budget on municipal tax and tariff increases.</w:t>
      </w:r>
    </w:p>
    <w:p w:rsidR="00AB27A4" w:rsidRPr="008D7023" w:rsidRDefault="00000732" w:rsidP="00BB1C6E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(e)</w:t>
      </w:r>
      <w:r w:rsidR="00AB27A4" w:rsidRPr="008D7023">
        <w:rPr>
          <w:rFonts w:ascii="Arial" w:hAnsi="Arial" w:cs="Arial"/>
          <w:color w:val="000000" w:themeColor="text1"/>
        </w:rPr>
        <w:tab/>
        <w:t>The</w:t>
      </w:r>
      <w:r w:rsidRPr="008D7023">
        <w:rPr>
          <w:rFonts w:ascii="Arial" w:hAnsi="Arial" w:cs="Arial"/>
          <w:color w:val="000000" w:themeColor="text1"/>
        </w:rPr>
        <w:t xml:space="preserve"> sources of funding are available and have not been committed for other</w:t>
      </w:r>
      <w:r w:rsidR="003C70A8" w:rsidRPr="008D7023">
        <w:rPr>
          <w:rFonts w:ascii="Arial" w:hAnsi="Arial" w:cs="Arial"/>
          <w:color w:val="000000" w:themeColor="text1"/>
        </w:rPr>
        <w:tab/>
      </w:r>
      <w:r w:rsidR="003C70A8" w:rsidRPr="008D7023">
        <w:rPr>
          <w:rFonts w:ascii="Arial" w:hAnsi="Arial" w:cs="Arial"/>
          <w:color w:val="000000" w:themeColor="text1"/>
        </w:rPr>
        <w:tab/>
      </w:r>
      <w:r w:rsidR="00AB27A4" w:rsidRPr="008D7023">
        <w:rPr>
          <w:rFonts w:ascii="Arial" w:hAnsi="Arial" w:cs="Arial"/>
          <w:color w:val="000000" w:themeColor="text1"/>
        </w:rPr>
        <w:t>p</w:t>
      </w:r>
      <w:r w:rsidRPr="008D7023">
        <w:rPr>
          <w:rFonts w:ascii="Arial" w:hAnsi="Arial" w:cs="Arial"/>
          <w:color w:val="000000" w:themeColor="text1"/>
        </w:rPr>
        <w:t>urposes.</w:t>
      </w: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CASH MANAGEMENT</w:t>
      </w:r>
    </w:p>
    <w:p w:rsidR="00C927A5" w:rsidRPr="008D7023" w:rsidRDefault="00C927A5" w:rsidP="00C927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C927A5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availability of cash is one of the most important requirements for working capital</w:t>
      </w:r>
      <w:r w:rsidR="00BD41B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management and must be closely monitored to ensure </w:t>
      </w:r>
      <w:r w:rsidR="00AB27A4" w:rsidRPr="008D7023">
        <w:rPr>
          <w:rFonts w:ascii="Arial" w:hAnsi="Arial" w:cs="Arial"/>
          <w:color w:val="000000" w:themeColor="text1"/>
        </w:rPr>
        <w:t>minimum days</w:t>
      </w:r>
      <w:r w:rsidRPr="008D7023">
        <w:rPr>
          <w:rFonts w:ascii="Arial" w:hAnsi="Arial" w:cs="Arial"/>
          <w:color w:val="000000" w:themeColor="text1"/>
        </w:rPr>
        <w:t xml:space="preserve"> cash on</w:t>
      </w:r>
      <w:r w:rsidR="00BD41B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hand of forty five (45) days for its daily operations.</w:t>
      </w:r>
    </w:p>
    <w:p w:rsidR="00BD41BD" w:rsidRPr="008D7023" w:rsidRDefault="00BD41BD" w:rsidP="00BD41BD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0332E7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Changes in the municipal environment that may have an impact on the municipal</w:t>
      </w:r>
      <w:r w:rsidR="00AB27A4" w:rsidRPr="008D7023">
        <w:rPr>
          <w:rFonts w:ascii="Arial" w:hAnsi="Arial" w:cs="Arial"/>
          <w:color w:val="000000" w:themeColor="text1"/>
        </w:rPr>
        <w:t xml:space="preserve"> c</w:t>
      </w:r>
      <w:r w:rsidRPr="008D7023">
        <w:rPr>
          <w:rFonts w:ascii="Arial" w:hAnsi="Arial" w:cs="Arial"/>
          <w:color w:val="000000" w:themeColor="text1"/>
        </w:rPr>
        <w:t>ash flow position include:</w:t>
      </w:r>
    </w:p>
    <w:p w:rsidR="00000732" w:rsidRPr="008D7023" w:rsidRDefault="00000732" w:rsidP="00BD41B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(a) </w:t>
      </w:r>
      <w:r w:rsidR="00AB27A4" w:rsidRPr="008D7023">
        <w:rPr>
          <w:rFonts w:ascii="Arial" w:hAnsi="Arial" w:cs="Arial"/>
          <w:color w:val="000000" w:themeColor="text1"/>
        </w:rPr>
        <w:tab/>
        <w:t>Changes</w:t>
      </w:r>
      <w:r w:rsidRPr="008D7023">
        <w:rPr>
          <w:rFonts w:ascii="Arial" w:hAnsi="Arial" w:cs="Arial"/>
          <w:color w:val="000000" w:themeColor="text1"/>
        </w:rPr>
        <w:t xml:space="preserve"> in revenue levels as a result of consumption patterns (water</w:t>
      </w:r>
      <w:r w:rsidR="00BD41B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restrictions, load shedding etc.);</w:t>
      </w:r>
    </w:p>
    <w:p w:rsidR="00000732" w:rsidRPr="008D7023" w:rsidRDefault="00000732" w:rsidP="00BD41BD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(b) </w:t>
      </w:r>
      <w:r w:rsidR="00AB27A4" w:rsidRPr="008D7023">
        <w:rPr>
          <w:rFonts w:ascii="Arial" w:hAnsi="Arial" w:cs="Arial"/>
          <w:color w:val="000000" w:themeColor="text1"/>
        </w:rPr>
        <w:tab/>
        <w:t>Reduced</w:t>
      </w:r>
      <w:r w:rsidRPr="008D7023">
        <w:rPr>
          <w:rFonts w:ascii="Arial" w:hAnsi="Arial" w:cs="Arial"/>
          <w:color w:val="000000" w:themeColor="text1"/>
        </w:rPr>
        <w:t xml:space="preserve"> growth as a result of economic conditions;</w:t>
      </w:r>
    </w:p>
    <w:p w:rsidR="00000732" w:rsidRPr="008D7023" w:rsidRDefault="00000732" w:rsidP="00BD4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(c) </w:t>
      </w:r>
      <w:r w:rsidR="00AB27A4" w:rsidRPr="008D7023">
        <w:rPr>
          <w:rFonts w:ascii="Arial" w:hAnsi="Arial" w:cs="Arial"/>
          <w:color w:val="000000" w:themeColor="text1"/>
        </w:rPr>
        <w:tab/>
        <w:t>Increase</w:t>
      </w:r>
      <w:r w:rsidRPr="008D7023">
        <w:rPr>
          <w:rFonts w:ascii="Arial" w:hAnsi="Arial" w:cs="Arial"/>
          <w:color w:val="000000" w:themeColor="text1"/>
        </w:rPr>
        <w:t xml:space="preserve"> in non-payment rate as a result of economic conditions;</w:t>
      </w:r>
      <w:r w:rsidR="00BD41BD" w:rsidRPr="008D7023">
        <w:rPr>
          <w:rFonts w:ascii="Arial" w:hAnsi="Arial" w:cs="Arial"/>
          <w:color w:val="000000" w:themeColor="text1"/>
        </w:rPr>
        <w:tab/>
      </w:r>
      <w:r w:rsidR="00BD41BD" w:rsidRPr="008D7023">
        <w:rPr>
          <w:rFonts w:ascii="Arial" w:hAnsi="Arial" w:cs="Arial"/>
          <w:color w:val="000000" w:themeColor="text1"/>
        </w:rPr>
        <w:tab/>
      </w:r>
    </w:p>
    <w:p w:rsidR="00000732" w:rsidRPr="008D7023" w:rsidRDefault="00000732" w:rsidP="00BD41BD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(d)</w:t>
      </w:r>
      <w:r w:rsidR="00AB27A4" w:rsidRPr="008D7023">
        <w:rPr>
          <w:rFonts w:ascii="Arial" w:hAnsi="Arial" w:cs="Arial"/>
          <w:color w:val="000000" w:themeColor="text1"/>
        </w:rPr>
        <w:tab/>
      </w:r>
      <w:r w:rsidR="00400D2F" w:rsidRPr="008D7023">
        <w:rPr>
          <w:rFonts w:ascii="Arial" w:hAnsi="Arial" w:cs="Arial"/>
          <w:color w:val="000000" w:themeColor="text1"/>
        </w:rPr>
        <w:t>Implementation</w:t>
      </w:r>
      <w:r w:rsidRPr="008D7023">
        <w:rPr>
          <w:rFonts w:ascii="Arial" w:hAnsi="Arial" w:cs="Arial"/>
          <w:color w:val="000000" w:themeColor="text1"/>
        </w:rPr>
        <w:t xml:space="preserve"> of electricity industry pricing policy (inclining block tariffs).</w:t>
      </w:r>
    </w:p>
    <w:p w:rsidR="00AB27A4" w:rsidRPr="008D7023" w:rsidRDefault="00000732" w:rsidP="00BD41BD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(e)</w:t>
      </w:r>
      <w:r w:rsidR="00AB27A4" w:rsidRPr="008D7023">
        <w:rPr>
          <w:rFonts w:ascii="Arial" w:hAnsi="Arial" w:cs="Arial"/>
          <w:color w:val="000000" w:themeColor="text1"/>
        </w:rPr>
        <w:tab/>
      </w:r>
      <w:r w:rsidR="00400D2F" w:rsidRPr="008D7023">
        <w:rPr>
          <w:rFonts w:ascii="Arial" w:hAnsi="Arial" w:cs="Arial"/>
          <w:color w:val="000000" w:themeColor="text1"/>
        </w:rPr>
        <w:t>Increased</w:t>
      </w:r>
      <w:r w:rsidRPr="008D7023">
        <w:rPr>
          <w:rFonts w:ascii="Arial" w:hAnsi="Arial" w:cs="Arial"/>
          <w:color w:val="000000" w:themeColor="text1"/>
        </w:rPr>
        <w:t xml:space="preserve"> debt levels.</w:t>
      </w:r>
    </w:p>
    <w:p w:rsidR="00BD41BD" w:rsidRPr="008D7023" w:rsidRDefault="00BD41BD" w:rsidP="00BD41BD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AB27A4" w:rsidRPr="008D7023" w:rsidRDefault="00000732" w:rsidP="00AF7B7D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lastRenderedPageBreak/>
        <w:t>Surplus cash not immediately required for operational purposes is invested in terms</w:t>
      </w:r>
      <w:r w:rsidR="00BD41B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of the municipality’s investment policy to maximize the return on investment.</w:t>
      </w:r>
    </w:p>
    <w:p w:rsidR="00AF7B7D" w:rsidRPr="008D7023" w:rsidRDefault="00AF7B7D" w:rsidP="00AF7B7D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DEBT MANAGEMENT</w:t>
      </w:r>
    </w:p>
    <w:p w:rsidR="00F41FC4" w:rsidRPr="008D7023" w:rsidRDefault="00F41FC4" w:rsidP="00F41FC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F41FC4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Debt is managed in terms of the municipal credit control and debt collection policy</w:t>
      </w:r>
      <w:r w:rsidR="00BD41B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and the writing off of bad debts and impairments of </w:t>
      </w:r>
      <w:r w:rsidR="008904D1" w:rsidRPr="008D7023">
        <w:rPr>
          <w:rFonts w:ascii="Arial" w:hAnsi="Arial" w:cs="Arial"/>
          <w:color w:val="000000" w:themeColor="text1"/>
        </w:rPr>
        <w:t>debtor’s</w:t>
      </w:r>
      <w:r w:rsidRPr="008D7023">
        <w:rPr>
          <w:rFonts w:ascii="Arial" w:hAnsi="Arial" w:cs="Arial"/>
          <w:color w:val="000000" w:themeColor="text1"/>
        </w:rPr>
        <w:t xml:space="preserve"> policy.</w:t>
      </w:r>
    </w:p>
    <w:p w:rsidR="00AB27A4" w:rsidRPr="008D7023" w:rsidRDefault="00000732" w:rsidP="00AF7B7D">
      <w:pPr>
        <w:pStyle w:val="ListParagraph"/>
        <w:numPr>
          <w:ilvl w:val="1"/>
          <w:numId w:val="6"/>
        </w:numPr>
        <w:spacing w:after="0" w:line="360" w:lineRule="auto"/>
        <w:ind w:left="709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provision for revenue that will not be collected are budgeted as an expense and</w:t>
      </w:r>
      <w:r w:rsidR="00BD41B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is based on the projected annual non-payment rate for each service.</w:t>
      </w:r>
    </w:p>
    <w:p w:rsidR="00AF7B7D" w:rsidRPr="008D7023" w:rsidRDefault="00AF7B7D" w:rsidP="00AF7B7D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OPERATING BUDGET</w:t>
      </w:r>
    </w:p>
    <w:p w:rsidR="00504D73" w:rsidRPr="008D7023" w:rsidRDefault="00504D73" w:rsidP="00504D7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504D73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operating budget provides funding to departments for their medium term</w:t>
      </w:r>
      <w:r w:rsidR="002E0AD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expenditure as planned. The </w:t>
      </w:r>
      <w:r w:rsidR="002E0ADB" w:rsidRPr="008D7023">
        <w:rPr>
          <w:rFonts w:ascii="Arial" w:hAnsi="Arial" w:cs="Arial"/>
          <w:color w:val="000000" w:themeColor="text1"/>
        </w:rPr>
        <w:t>M</w:t>
      </w:r>
      <w:r w:rsidRPr="008D7023">
        <w:rPr>
          <w:rFonts w:ascii="Arial" w:hAnsi="Arial" w:cs="Arial"/>
          <w:color w:val="000000" w:themeColor="text1"/>
        </w:rPr>
        <w:t>unicipality categorises services rendered to the</w:t>
      </w:r>
      <w:r w:rsidR="002E0AD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community according to its </w:t>
      </w:r>
      <w:r w:rsidR="002E0ADB" w:rsidRPr="008D7023">
        <w:rPr>
          <w:rFonts w:ascii="Arial" w:hAnsi="Arial" w:cs="Arial"/>
          <w:color w:val="000000" w:themeColor="text1"/>
        </w:rPr>
        <w:t>revenue generating capabilities in line with the tariffs policy</w:t>
      </w:r>
    </w:p>
    <w:p w:rsidR="00000732" w:rsidRPr="008D7023" w:rsidRDefault="00AB27A4" w:rsidP="002E0ADB">
      <w:pPr>
        <w:pStyle w:val="ListParagraph"/>
        <w:numPr>
          <w:ilvl w:val="0"/>
          <w:numId w:val="15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Economic</w:t>
      </w:r>
      <w:r w:rsidR="00000732" w:rsidRPr="008D7023">
        <w:rPr>
          <w:rFonts w:ascii="Arial" w:hAnsi="Arial" w:cs="Arial"/>
          <w:color w:val="000000" w:themeColor="text1"/>
        </w:rPr>
        <w:t xml:space="preserve"> services – services that break </w:t>
      </w:r>
      <w:r w:rsidR="00AC1199" w:rsidRPr="008D7023">
        <w:rPr>
          <w:rFonts w:ascii="Arial" w:hAnsi="Arial" w:cs="Arial"/>
          <w:color w:val="000000" w:themeColor="text1"/>
        </w:rPr>
        <w:t>r</w:t>
      </w:r>
      <w:r w:rsidR="00000732" w:rsidRPr="008D7023">
        <w:rPr>
          <w:rFonts w:ascii="Arial" w:hAnsi="Arial" w:cs="Arial"/>
          <w:color w:val="000000" w:themeColor="text1"/>
        </w:rPr>
        <w:t>even</w:t>
      </w:r>
      <w:r w:rsidR="00AC1199" w:rsidRPr="008D7023">
        <w:rPr>
          <w:rFonts w:ascii="Arial" w:hAnsi="Arial" w:cs="Arial"/>
          <w:color w:val="000000" w:themeColor="text1"/>
        </w:rPr>
        <w:t>ue</w:t>
      </w:r>
      <w:r w:rsidR="00000732" w:rsidRPr="008D7023">
        <w:rPr>
          <w:rFonts w:ascii="Arial" w:hAnsi="Arial" w:cs="Arial"/>
          <w:color w:val="000000" w:themeColor="text1"/>
        </w:rPr>
        <w:t xml:space="preserve"> with no surpluses.</w:t>
      </w:r>
    </w:p>
    <w:p w:rsidR="00000732" w:rsidRPr="008D7023" w:rsidRDefault="00400D2F" w:rsidP="002E0ADB">
      <w:pPr>
        <w:pStyle w:val="ListParagraph"/>
        <w:numPr>
          <w:ilvl w:val="0"/>
          <w:numId w:val="15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R</w:t>
      </w:r>
      <w:r w:rsidR="00000732" w:rsidRPr="008D7023">
        <w:rPr>
          <w:rFonts w:ascii="Arial" w:hAnsi="Arial" w:cs="Arial"/>
          <w:color w:val="000000" w:themeColor="text1"/>
        </w:rPr>
        <w:t>ates and general services – services tha</w:t>
      </w:r>
      <w:r w:rsidRPr="008D7023">
        <w:rPr>
          <w:rFonts w:ascii="Arial" w:hAnsi="Arial" w:cs="Arial"/>
          <w:color w:val="000000" w:themeColor="text1"/>
        </w:rPr>
        <w:t>t are funded by rates</w:t>
      </w:r>
      <w:r w:rsidR="00000732" w:rsidRPr="008D7023">
        <w:rPr>
          <w:rFonts w:ascii="Arial" w:hAnsi="Arial" w:cs="Arial"/>
          <w:color w:val="000000" w:themeColor="text1"/>
        </w:rPr>
        <w:t>, and/or other revenues generated such as</w:t>
      </w:r>
      <w:r w:rsidR="002E0ADB" w:rsidRPr="008D7023">
        <w:rPr>
          <w:rFonts w:ascii="Arial" w:hAnsi="Arial" w:cs="Arial"/>
          <w:color w:val="000000" w:themeColor="text1"/>
        </w:rPr>
        <w:t xml:space="preserve"> </w:t>
      </w:r>
      <w:r w:rsidR="008904D1" w:rsidRPr="008D7023">
        <w:rPr>
          <w:rFonts w:ascii="Arial" w:hAnsi="Arial" w:cs="Arial"/>
          <w:color w:val="000000" w:themeColor="text1"/>
        </w:rPr>
        <w:t>fines, interest</w:t>
      </w:r>
      <w:r w:rsidRPr="008D7023">
        <w:rPr>
          <w:rFonts w:ascii="Arial" w:hAnsi="Arial" w:cs="Arial"/>
          <w:color w:val="000000" w:themeColor="text1"/>
        </w:rPr>
        <w:t xml:space="preserve"> r</w:t>
      </w:r>
      <w:r w:rsidR="00000732" w:rsidRPr="008D7023">
        <w:rPr>
          <w:rFonts w:ascii="Arial" w:hAnsi="Arial" w:cs="Arial"/>
          <w:color w:val="000000" w:themeColor="text1"/>
        </w:rPr>
        <w:t>eceived, grants and subsidies etc.</w:t>
      </w:r>
    </w:p>
    <w:p w:rsidR="00400D2F" w:rsidRPr="008D7023" w:rsidRDefault="002E0ADB" w:rsidP="002E0ADB">
      <w:pPr>
        <w:pStyle w:val="ListParagraph"/>
        <w:numPr>
          <w:ilvl w:val="0"/>
          <w:numId w:val="15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Trading services – services that generate surpluses that can be used for cross subsidisation to fund other services</w:t>
      </w:r>
    </w:p>
    <w:p w:rsidR="002E0ADB" w:rsidRPr="008D7023" w:rsidRDefault="002E0ADB" w:rsidP="002E0ADB">
      <w:pPr>
        <w:pStyle w:val="ListParagraph"/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0332E7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operating budget is funded from the following main sources of revenue:</w:t>
      </w:r>
    </w:p>
    <w:p w:rsidR="00400D2F" w:rsidRPr="008D7023" w:rsidRDefault="00000732" w:rsidP="002E0ADB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(a) </w:t>
      </w:r>
      <w:r w:rsidR="00400D2F" w:rsidRPr="008D7023">
        <w:rPr>
          <w:rFonts w:ascii="Arial" w:hAnsi="Arial" w:cs="Arial"/>
          <w:color w:val="000000" w:themeColor="text1"/>
        </w:rPr>
        <w:tab/>
        <w:t>Property</w:t>
      </w:r>
      <w:r w:rsidRPr="008D7023">
        <w:rPr>
          <w:rFonts w:ascii="Arial" w:hAnsi="Arial" w:cs="Arial"/>
          <w:color w:val="000000" w:themeColor="text1"/>
        </w:rPr>
        <w:t xml:space="preserve"> rates.</w:t>
      </w:r>
    </w:p>
    <w:p w:rsidR="00000732" w:rsidRPr="008D7023" w:rsidRDefault="00400D2F" w:rsidP="002E0ADB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(b</w:t>
      </w:r>
      <w:r w:rsidR="00000732" w:rsidRPr="008D7023">
        <w:rPr>
          <w:rFonts w:ascii="Arial" w:hAnsi="Arial" w:cs="Arial"/>
          <w:color w:val="000000" w:themeColor="text1"/>
        </w:rPr>
        <w:t>)</w:t>
      </w:r>
      <w:r w:rsidRPr="008D7023">
        <w:rPr>
          <w:rFonts w:ascii="Arial" w:hAnsi="Arial" w:cs="Arial"/>
          <w:color w:val="000000" w:themeColor="text1"/>
        </w:rPr>
        <w:tab/>
        <w:t>Government</w:t>
      </w:r>
      <w:r w:rsidR="00000732" w:rsidRPr="008D7023">
        <w:rPr>
          <w:rFonts w:ascii="Arial" w:hAnsi="Arial" w:cs="Arial"/>
          <w:color w:val="000000" w:themeColor="text1"/>
        </w:rPr>
        <w:t xml:space="preserve"> grants and subsidies.</w:t>
      </w:r>
    </w:p>
    <w:p w:rsidR="00000732" w:rsidRPr="008D7023" w:rsidRDefault="00000732" w:rsidP="002E0ADB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</w:t>
      </w:r>
      <w:r w:rsidR="00400D2F" w:rsidRPr="008D7023">
        <w:rPr>
          <w:rFonts w:ascii="Arial" w:hAnsi="Arial" w:cs="Arial"/>
          <w:color w:val="000000" w:themeColor="text1"/>
        </w:rPr>
        <w:t>c</w:t>
      </w:r>
      <w:r w:rsidRPr="008D7023">
        <w:rPr>
          <w:rFonts w:ascii="Arial" w:hAnsi="Arial" w:cs="Arial"/>
          <w:color w:val="000000" w:themeColor="text1"/>
        </w:rPr>
        <w:t xml:space="preserve">) </w:t>
      </w:r>
      <w:r w:rsidR="00400D2F" w:rsidRPr="008D7023">
        <w:rPr>
          <w:rFonts w:ascii="Arial" w:hAnsi="Arial" w:cs="Arial"/>
          <w:color w:val="000000" w:themeColor="text1"/>
        </w:rPr>
        <w:tab/>
        <w:t>Other</w:t>
      </w:r>
      <w:r w:rsidRPr="008D7023">
        <w:rPr>
          <w:rFonts w:ascii="Arial" w:hAnsi="Arial" w:cs="Arial"/>
          <w:color w:val="000000" w:themeColor="text1"/>
        </w:rPr>
        <w:t xml:space="preserve"> revenue, fines, interest received etc.</w:t>
      </w:r>
    </w:p>
    <w:p w:rsidR="00400D2F" w:rsidRPr="008D7023" w:rsidRDefault="00000732" w:rsidP="00AF7B7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(</w:t>
      </w:r>
      <w:r w:rsidR="00400D2F" w:rsidRPr="008D7023">
        <w:rPr>
          <w:rFonts w:ascii="Arial" w:hAnsi="Arial" w:cs="Arial"/>
          <w:color w:val="000000" w:themeColor="text1"/>
        </w:rPr>
        <w:t>d</w:t>
      </w:r>
      <w:r w:rsidRPr="008D7023">
        <w:rPr>
          <w:rFonts w:ascii="Arial" w:hAnsi="Arial" w:cs="Arial"/>
          <w:color w:val="000000" w:themeColor="text1"/>
        </w:rPr>
        <w:t xml:space="preserve">) </w:t>
      </w:r>
      <w:r w:rsidR="00400D2F" w:rsidRPr="008D7023">
        <w:rPr>
          <w:rFonts w:ascii="Arial" w:hAnsi="Arial" w:cs="Arial"/>
          <w:color w:val="000000" w:themeColor="text1"/>
        </w:rPr>
        <w:tab/>
        <w:t>Cash</w:t>
      </w:r>
      <w:r w:rsidRPr="008D7023">
        <w:rPr>
          <w:rFonts w:ascii="Arial" w:hAnsi="Arial" w:cs="Arial"/>
          <w:color w:val="000000" w:themeColor="text1"/>
        </w:rPr>
        <w:t xml:space="preserve"> backed accumulated surpluses from previous years not committed for</w:t>
      </w:r>
      <w:r w:rsidR="002E0AD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any other purposes.</w:t>
      </w:r>
    </w:p>
    <w:p w:rsidR="00AF7B7D" w:rsidRPr="008D7023" w:rsidRDefault="00AF7B7D" w:rsidP="00AF7B7D">
      <w:pPr>
        <w:spacing w:after="0"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F03FF3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 The following guiding principles apply when compiling the operating budget:</w:t>
      </w:r>
    </w:p>
    <w:p w:rsidR="00000732" w:rsidRPr="008D7023" w:rsidRDefault="00400D2F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</w:t>
      </w:r>
      <w:r w:rsidR="00000732" w:rsidRPr="008D7023">
        <w:rPr>
          <w:rFonts w:ascii="Arial" w:hAnsi="Arial" w:cs="Arial"/>
          <w:color w:val="000000" w:themeColor="text1"/>
        </w:rPr>
        <w:t xml:space="preserve"> annual budget must be balanced.</w:t>
      </w:r>
    </w:p>
    <w:p w:rsidR="00000732" w:rsidRPr="008D7023" w:rsidRDefault="00400D2F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Growth</w:t>
      </w:r>
      <w:r w:rsidR="00000732" w:rsidRPr="008D7023">
        <w:rPr>
          <w:rFonts w:ascii="Arial" w:hAnsi="Arial" w:cs="Arial"/>
          <w:color w:val="000000" w:themeColor="text1"/>
        </w:rPr>
        <w:t xml:space="preserve"> parameters must be realistic taking into account the current economic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conditions.</w:t>
      </w:r>
    </w:p>
    <w:p w:rsidR="00000732" w:rsidRPr="008D7023" w:rsidRDefault="00F03FF3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</w:t>
      </w:r>
      <w:r w:rsidR="00000732" w:rsidRPr="008D7023">
        <w:rPr>
          <w:rFonts w:ascii="Arial" w:hAnsi="Arial" w:cs="Arial"/>
          <w:color w:val="000000" w:themeColor="text1"/>
        </w:rPr>
        <w:t>ariff adjustments must be realistic, taking into consideration the general</w:t>
      </w:r>
      <w:r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inflation, affordability, bulk increases and the demand according to the</w:t>
      </w:r>
      <w:r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approved Integrated Development Plan (IDP).</w:t>
      </w:r>
    </w:p>
    <w:p w:rsidR="00000732" w:rsidRPr="008D7023" w:rsidRDefault="00000732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Revenue from government grants and subsidies must be in line with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allocations gazette in the Division of Revenue Act and provincial gazettes.</w:t>
      </w:r>
    </w:p>
    <w:p w:rsidR="00000732" w:rsidRPr="008D7023" w:rsidRDefault="00000732" w:rsidP="00F03FF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lastRenderedPageBreak/>
        <w:t>Revenue from public contributions, donations or any other grants may only be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included in the budget if there are acceptable documentation that guarantees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the funds such as:</w:t>
      </w:r>
    </w:p>
    <w:p w:rsidR="00000732" w:rsidRPr="008D7023" w:rsidRDefault="00F03FF3" w:rsidP="00F03FF3">
      <w:pPr>
        <w:pStyle w:val="ListParagraph"/>
        <w:numPr>
          <w:ilvl w:val="1"/>
          <w:numId w:val="16"/>
        </w:numPr>
        <w:spacing w:line="360" w:lineRule="auto"/>
        <w:ind w:left="1985" w:hanging="545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S</w:t>
      </w:r>
      <w:r w:rsidR="00000732" w:rsidRPr="008D7023">
        <w:rPr>
          <w:rFonts w:ascii="Arial" w:hAnsi="Arial" w:cs="Arial"/>
          <w:color w:val="000000" w:themeColor="text1"/>
        </w:rPr>
        <w:t>igned service level agreement;</w:t>
      </w:r>
    </w:p>
    <w:p w:rsidR="00000732" w:rsidRPr="008D7023" w:rsidRDefault="00400D2F" w:rsidP="00F03FF3">
      <w:pPr>
        <w:pStyle w:val="ListParagraph"/>
        <w:numPr>
          <w:ilvl w:val="1"/>
          <w:numId w:val="16"/>
        </w:numPr>
        <w:spacing w:line="360" w:lineRule="auto"/>
        <w:ind w:left="1985" w:hanging="545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Contract</w:t>
      </w:r>
      <w:r w:rsidR="00000732" w:rsidRPr="008D7023">
        <w:rPr>
          <w:rFonts w:ascii="Arial" w:hAnsi="Arial" w:cs="Arial"/>
          <w:color w:val="000000" w:themeColor="text1"/>
        </w:rPr>
        <w:t xml:space="preserve"> or written confirmation; or</w:t>
      </w:r>
    </w:p>
    <w:p w:rsidR="00400D2F" w:rsidRPr="008D7023" w:rsidRDefault="00400D2F" w:rsidP="00F03FF3">
      <w:pPr>
        <w:pStyle w:val="ListParagraph"/>
        <w:numPr>
          <w:ilvl w:val="1"/>
          <w:numId w:val="16"/>
        </w:numPr>
        <w:spacing w:after="0" w:line="360" w:lineRule="auto"/>
        <w:ind w:left="1985" w:hanging="545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Any</w:t>
      </w:r>
      <w:r w:rsidR="00000732" w:rsidRPr="008D7023">
        <w:rPr>
          <w:rFonts w:ascii="Arial" w:hAnsi="Arial" w:cs="Arial"/>
          <w:color w:val="000000" w:themeColor="text1"/>
        </w:rPr>
        <w:t xml:space="preserve"> other legally binding document.</w:t>
      </w:r>
    </w:p>
    <w:p w:rsidR="00000732" w:rsidRPr="008D7023" w:rsidRDefault="00000732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Property rates are levied according to the Municipal Property Rates Act</w:t>
      </w:r>
      <w:r w:rsidR="00F03FF3" w:rsidRPr="008D7023">
        <w:rPr>
          <w:rFonts w:ascii="Arial" w:hAnsi="Arial" w:cs="Arial"/>
          <w:color w:val="000000" w:themeColor="text1"/>
        </w:rPr>
        <w:t xml:space="preserve"> (Act No.6 of 2004)</w:t>
      </w:r>
      <w:r w:rsidRPr="008D7023">
        <w:rPr>
          <w:rFonts w:ascii="Arial" w:hAnsi="Arial" w:cs="Arial"/>
          <w:color w:val="000000" w:themeColor="text1"/>
        </w:rPr>
        <w:t>, and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property rates policy based on land and improvement values. The budget is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compiled using the latest approved valuation and supplementary roll,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consistent with current and past trends. Property rates tariffs and rebates are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determined annually as part of the tariff setting process.</w:t>
      </w:r>
    </w:p>
    <w:p w:rsidR="00000732" w:rsidRPr="008D7023" w:rsidRDefault="00000732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Property rates rebates, exemptions and reductions are budgeted either as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revenue foregone or a grant as per directive in MFMA Budget Circular 51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depending on the conditions thereof.</w:t>
      </w:r>
    </w:p>
    <w:p w:rsidR="00000732" w:rsidRPr="008D7023" w:rsidRDefault="00000732" w:rsidP="00F03F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Rebates, exemptions or reductions for service charges are budgeted either as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revenue foregone or as a grant as per directive in MFMA Budget Circular 51</w:t>
      </w:r>
      <w:r w:rsidR="00F03FF3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depending on the conditions thereof.</w:t>
      </w:r>
    </w:p>
    <w:p w:rsidR="00000732" w:rsidRPr="008D7023" w:rsidRDefault="00000732" w:rsidP="0005646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Other projected income is charged in terms of the approved sundry tariffs and</w:t>
      </w:r>
      <w:r w:rsidR="0005646E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fines considering the past trends and expected growth for each category.</w:t>
      </w:r>
    </w:p>
    <w:p w:rsidR="00000732" w:rsidRPr="008D7023" w:rsidRDefault="00000732" w:rsidP="0005646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Provision for revenue that will not be collected is made against the</w:t>
      </w:r>
      <w:r w:rsidR="0005646E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expenditure item bad debt and based on actual collection levels for the</w:t>
      </w:r>
      <w:r w:rsidR="0005646E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previous financial year and the projected annual non-payment rate.</w:t>
      </w:r>
    </w:p>
    <w:p w:rsidR="00000732" w:rsidRPr="008D7023" w:rsidRDefault="00000732" w:rsidP="0005646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Interest received from actual long-term and or short-term investments are</w:t>
      </w:r>
      <w:r w:rsidR="00F85EA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based on the amount reasonably expected to be earned on cash amounts</w:t>
      </w:r>
      <w:r w:rsidR="00F85EA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available during the year according to the expected interest rate trends. The</w:t>
      </w:r>
      <w:r w:rsidR="00F85EA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actual amount allocated for interest on investments is contributed to the</w:t>
      </w:r>
      <w:r w:rsidR="00F85EA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capital replacement reserve.</w:t>
      </w:r>
    </w:p>
    <w:p w:rsidR="00000732" w:rsidRPr="008D7023" w:rsidRDefault="00000732" w:rsidP="00F85EA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Transfers from the accumulated surplus to fund operating expenditure will</w:t>
      </w:r>
      <w:r w:rsidR="00F85EA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only be allowed for specific once-off projects and with no recurring operating</w:t>
      </w:r>
      <w:r w:rsidR="00F85EA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expenditure resulting thereof.</w:t>
      </w:r>
    </w:p>
    <w:p w:rsidR="00000732" w:rsidRPr="008D7023" w:rsidRDefault="00000732" w:rsidP="00CA22E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Transfers from the accumulated surplus to offset the increased depreciation</w:t>
      </w:r>
      <w:r w:rsidR="00CA22E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charges as a result of the implementation of GRAP 17 will be phased out over</w:t>
      </w:r>
      <w:r w:rsidR="00CA22E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 number of years.</w:t>
      </w:r>
    </w:p>
    <w:p w:rsidR="00000732" w:rsidRPr="008D7023" w:rsidRDefault="00000732" w:rsidP="00EA7D6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 detailed salary budget is compiled on an annual basis. All funded positions</w:t>
      </w:r>
      <w:r w:rsidR="00CD5B60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are budgeted for in total and new and/or funded vacant positions are</w:t>
      </w:r>
      <w:r w:rsidR="00CD5B60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budgeted for six (6) months only of the total package considering the</w:t>
      </w:r>
      <w:r w:rsidR="00CD5B60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recruitment process. </w:t>
      </w:r>
      <w:r w:rsidRPr="008D7023">
        <w:rPr>
          <w:rFonts w:ascii="Arial" w:hAnsi="Arial" w:cs="Arial"/>
          <w:color w:val="000000" w:themeColor="text1"/>
        </w:rPr>
        <w:lastRenderedPageBreak/>
        <w:t>As a guiding principle the salary budget should not</w:t>
      </w:r>
      <w:r w:rsidR="00CD5B60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constitute more than 35% of annual operating expenditure.</w:t>
      </w:r>
    </w:p>
    <w:p w:rsidR="00000732" w:rsidRPr="008D7023" w:rsidRDefault="00000732" w:rsidP="00EA7D6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Depreciation charges are fully budgeted for according to the asset register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and to limit the impact of the implementation of GRAP 17 a transfer from the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accumulated surplus is made. However the annual cash flow requirement for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the repayment of borrowings must fully be taken into consideration with the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setting of tariffs.</w:t>
      </w:r>
    </w:p>
    <w:p w:rsidR="00000732" w:rsidRPr="008D7023" w:rsidRDefault="00000732" w:rsidP="000A6B5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To ensure the health of municipal assets, sufficient provision must be made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for the maintenance of existing and infrastructure assets based on affordable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levels, resulting that maintenance budgets are normally lower than the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recommended levels. Therefore the mere reduction of maintenance budgets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to balance annual budgets must carefully be considered. As a guiding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principle repair and maintenance should constitute between 5 and 8% of total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operating expenditure and should annually be increased incrementally until</w:t>
      </w:r>
      <w:r w:rsidR="00EA7D6F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the required targets are achieved.</w:t>
      </w:r>
    </w:p>
    <w:p w:rsidR="00A6063B" w:rsidRPr="008D7023" w:rsidRDefault="00000732" w:rsidP="00AF7B7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Individual expenditure line items are to be revised each year when compiling</w:t>
      </w:r>
      <w:r w:rsidR="000A6B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the budget to ensure proper control over expenditure. Increases for these line</w:t>
      </w:r>
      <w:r w:rsidR="000A6B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items must be linked to the average inflation rate and macro-economic</w:t>
      </w:r>
      <w:r w:rsidR="000A6B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indicators unless a signed agreement or contract stipulates otherwise.</w:t>
      </w:r>
    </w:p>
    <w:p w:rsidR="00AF7B7D" w:rsidRPr="008D7023" w:rsidRDefault="00AF7B7D" w:rsidP="00AF7B7D">
      <w:pPr>
        <w:pStyle w:val="ListParagraph"/>
        <w:spacing w:after="0" w:line="36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CAPITAL BUDGET</w:t>
      </w:r>
    </w:p>
    <w:p w:rsidR="00F20071" w:rsidRPr="008D7023" w:rsidRDefault="00F20071" w:rsidP="00F200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F20071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capital budget provides funding for the municipality’s capital programme based</w:t>
      </w:r>
      <w:r w:rsidR="00086C45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on the needs and objectives as identified by the community through the Integrated</w:t>
      </w:r>
      <w:r w:rsidR="00086C45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Development Plan and provides for the eradication of infrastructural backlogs,</w:t>
      </w:r>
      <w:r w:rsidR="00086C45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renewal and upgrading of existing infrastructure, new developments and enlargement</w:t>
      </w:r>
      <w:r w:rsidR="00086C45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of bulk infrastructure.</w:t>
      </w:r>
    </w:p>
    <w:p w:rsidR="001A08CD" w:rsidRPr="008D7023" w:rsidRDefault="001A08CD" w:rsidP="001A08CD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6063B" w:rsidRPr="008D7023" w:rsidRDefault="00000732" w:rsidP="00086C45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Provisions on the capital budget will be limited to availability of sources of funding</w:t>
      </w:r>
      <w:r w:rsidR="00CB3892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and affordability. The main sources of funding for capital expenditure are:</w:t>
      </w:r>
    </w:p>
    <w:p w:rsidR="00000732" w:rsidRPr="008D7023" w:rsidRDefault="00A6063B" w:rsidP="00086C45">
      <w:pPr>
        <w:pStyle w:val="ListParagraph"/>
        <w:numPr>
          <w:ilvl w:val="0"/>
          <w:numId w:val="17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Accumulated</w:t>
      </w:r>
      <w:r w:rsidR="00000732" w:rsidRPr="008D7023">
        <w:rPr>
          <w:rFonts w:ascii="Arial" w:hAnsi="Arial" w:cs="Arial"/>
          <w:color w:val="000000" w:themeColor="text1"/>
        </w:rPr>
        <w:t xml:space="preserve"> cash back internal reserves;</w:t>
      </w:r>
    </w:p>
    <w:p w:rsidR="00000732" w:rsidRPr="008D7023" w:rsidRDefault="00A6063B" w:rsidP="00086C45">
      <w:pPr>
        <w:pStyle w:val="ListParagraph"/>
        <w:numPr>
          <w:ilvl w:val="0"/>
          <w:numId w:val="17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Borrowings</w:t>
      </w:r>
      <w:r w:rsidR="00000732" w:rsidRPr="008D7023">
        <w:rPr>
          <w:rFonts w:ascii="Arial" w:hAnsi="Arial" w:cs="Arial"/>
          <w:color w:val="000000" w:themeColor="text1"/>
        </w:rPr>
        <w:t>;</w:t>
      </w:r>
    </w:p>
    <w:p w:rsidR="00000732" w:rsidRPr="008D7023" w:rsidRDefault="00A6063B" w:rsidP="00086C45">
      <w:pPr>
        <w:pStyle w:val="ListParagraph"/>
        <w:numPr>
          <w:ilvl w:val="0"/>
          <w:numId w:val="17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Government</w:t>
      </w:r>
      <w:r w:rsidR="00000732" w:rsidRPr="008D7023">
        <w:rPr>
          <w:rFonts w:ascii="Arial" w:hAnsi="Arial" w:cs="Arial"/>
          <w:color w:val="000000" w:themeColor="text1"/>
        </w:rPr>
        <w:t xml:space="preserve"> grants and subsidies; and</w:t>
      </w:r>
    </w:p>
    <w:p w:rsidR="00A6063B" w:rsidRPr="008D7023" w:rsidRDefault="00A6063B" w:rsidP="001A08CD">
      <w:pPr>
        <w:pStyle w:val="ListParagraph"/>
        <w:numPr>
          <w:ilvl w:val="0"/>
          <w:numId w:val="17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Public</w:t>
      </w:r>
      <w:r w:rsidR="00000732" w:rsidRPr="008D7023">
        <w:rPr>
          <w:rFonts w:ascii="Arial" w:hAnsi="Arial" w:cs="Arial"/>
          <w:color w:val="000000" w:themeColor="text1"/>
        </w:rPr>
        <w:t xml:space="preserve"> donations and contributions,</w:t>
      </w:r>
    </w:p>
    <w:p w:rsidR="001A08CD" w:rsidRPr="008D7023" w:rsidRDefault="001A08CD" w:rsidP="001A08CD">
      <w:pPr>
        <w:pStyle w:val="ListParagraph"/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1A08CD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following guiding principles applies when considering sources of funding for the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capital budget:</w:t>
      </w:r>
    </w:p>
    <w:p w:rsidR="00000732" w:rsidRPr="008D7023" w:rsidRDefault="00000732" w:rsidP="001A08CD">
      <w:pPr>
        <w:pStyle w:val="ListParagraph"/>
        <w:numPr>
          <w:ilvl w:val="0"/>
          <w:numId w:val="18"/>
        </w:numPr>
        <w:spacing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Government grants and subsidies:</w:t>
      </w:r>
    </w:p>
    <w:p w:rsidR="00000732" w:rsidRPr="008D7023" w:rsidRDefault="00A6063B" w:rsidP="001A08CD">
      <w:pPr>
        <w:pStyle w:val="ListParagraph"/>
        <w:numPr>
          <w:ilvl w:val="1"/>
          <w:numId w:val="16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lastRenderedPageBreak/>
        <w:t>Only</w:t>
      </w:r>
      <w:r w:rsidR="00000732" w:rsidRPr="008D7023">
        <w:rPr>
          <w:rFonts w:ascii="Arial" w:hAnsi="Arial" w:cs="Arial"/>
          <w:color w:val="000000" w:themeColor="text1"/>
        </w:rPr>
        <w:t xml:space="preserve"> gazette allocations or transfers as reflected in the Division of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Revenue act or allocations as per provincial gazettes may be used to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fund projects;</w:t>
      </w:r>
    </w:p>
    <w:p w:rsidR="00000732" w:rsidRPr="008D7023" w:rsidRDefault="00A6063B" w:rsidP="001A08CD">
      <w:pPr>
        <w:pStyle w:val="ListParagraph"/>
        <w:numPr>
          <w:ilvl w:val="1"/>
          <w:numId w:val="16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</w:t>
      </w:r>
      <w:r w:rsidR="00000732" w:rsidRPr="008D7023">
        <w:rPr>
          <w:rFonts w:ascii="Arial" w:hAnsi="Arial" w:cs="Arial"/>
          <w:color w:val="000000" w:themeColor="text1"/>
        </w:rPr>
        <w:t xml:space="preserve"> conditions of the specific grant must be taken into consideration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when allocated to a specific project; and</w:t>
      </w:r>
    </w:p>
    <w:p w:rsidR="00000732" w:rsidRPr="008D7023" w:rsidRDefault="00A6063B" w:rsidP="001A08CD">
      <w:pPr>
        <w:pStyle w:val="ListParagraph"/>
        <w:numPr>
          <w:ilvl w:val="1"/>
          <w:numId w:val="16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Government</w:t>
      </w:r>
      <w:r w:rsidR="00000732" w:rsidRPr="008D7023">
        <w:rPr>
          <w:rFonts w:ascii="Arial" w:hAnsi="Arial" w:cs="Arial"/>
          <w:color w:val="000000" w:themeColor="text1"/>
        </w:rPr>
        <w:t xml:space="preserve"> grants and subsidies allocated to specific capital projects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are provided for on the relevant department’s operating budget to the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extent the conditions will be met during the financial year.</w:t>
      </w:r>
    </w:p>
    <w:p w:rsidR="00000732" w:rsidRPr="008D7023" w:rsidRDefault="00000732" w:rsidP="001A08CD">
      <w:pPr>
        <w:pStyle w:val="ListParagraph"/>
        <w:numPr>
          <w:ilvl w:val="0"/>
          <w:numId w:val="18"/>
        </w:numPr>
        <w:spacing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In the case of public contributions, donations and/or other grants, such capital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projects may only be included in the annual budget if the funding is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guaranteed by means of:</w:t>
      </w:r>
    </w:p>
    <w:p w:rsidR="00000732" w:rsidRPr="008D7023" w:rsidRDefault="001A08CD" w:rsidP="001A08CD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S</w:t>
      </w:r>
      <w:r w:rsidR="00000732" w:rsidRPr="008D7023">
        <w:rPr>
          <w:rFonts w:ascii="Arial" w:hAnsi="Arial" w:cs="Arial"/>
          <w:color w:val="000000" w:themeColor="text1"/>
        </w:rPr>
        <w:t>igned service level agreement;</w:t>
      </w:r>
    </w:p>
    <w:p w:rsidR="00000732" w:rsidRPr="008D7023" w:rsidRDefault="00A6063B" w:rsidP="001A08CD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Contract</w:t>
      </w:r>
      <w:r w:rsidR="00000732" w:rsidRPr="008D7023">
        <w:rPr>
          <w:rFonts w:ascii="Arial" w:hAnsi="Arial" w:cs="Arial"/>
          <w:color w:val="000000" w:themeColor="text1"/>
        </w:rPr>
        <w:t xml:space="preserve"> or written confirmation; and/or</w:t>
      </w:r>
    </w:p>
    <w:p w:rsidR="00000732" w:rsidRPr="008D7023" w:rsidRDefault="00A6063B" w:rsidP="001A08CD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Any</w:t>
      </w:r>
      <w:r w:rsidR="00000732" w:rsidRPr="008D7023">
        <w:rPr>
          <w:rFonts w:ascii="Arial" w:hAnsi="Arial" w:cs="Arial"/>
          <w:color w:val="000000" w:themeColor="text1"/>
        </w:rPr>
        <w:t xml:space="preserve"> other legally binding document.</w:t>
      </w:r>
    </w:p>
    <w:p w:rsidR="00E7049A" w:rsidRPr="008D7023" w:rsidRDefault="00E7049A" w:rsidP="00E7049A">
      <w:pPr>
        <w:pStyle w:val="ListParagraph"/>
        <w:spacing w:line="360" w:lineRule="auto"/>
        <w:ind w:left="1843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1A08CD">
      <w:pPr>
        <w:pStyle w:val="ListParagraph"/>
        <w:numPr>
          <w:ilvl w:val="0"/>
          <w:numId w:val="18"/>
        </w:numPr>
        <w:spacing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Public donations, contributions and other grants are provided for on the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relevant department’s operating budget to the extent the conditions will be</w:t>
      </w:r>
      <w:r w:rsidR="001A08CD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met during the financial year.</w:t>
      </w:r>
    </w:p>
    <w:p w:rsidR="00E7049A" w:rsidRPr="008D7023" w:rsidRDefault="00E7049A" w:rsidP="00E7049A">
      <w:pPr>
        <w:pStyle w:val="ListParagraph"/>
        <w:spacing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1A08CD">
      <w:pPr>
        <w:pStyle w:val="ListParagraph"/>
        <w:numPr>
          <w:ilvl w:val="0"/>
          <w:numId w:val="18"/>
        </w:numPr>
        <w:spacing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borrowing requirements as contained in the borrowing policy are used as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 basis to determine the affordability of external loans over the Medium Term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Income and Expenditure Framework. The ratios to be considered to take up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additional borrowings: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Long-term</w:t>
      </w:r>
      <w:r w:rsidR="00000732" w:rsidRPr="008D7023">
        <w:rPr>
          <w:rFonts w:ascii="Arial" w:hAnsi="Arial" w:cs="Arial"/>
          <w:color w:val="000000" w:themeColor="text1"/>
        </w:rPr>
        <w:t xml:space="preserve"> credit rating of BBB;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Interest</w:t>
      </w:r>
      <w:r w:rsidR="00000732" w:rsidRPr="008D7023">
        <w:rPr>
          <w:rFonts w:ascii="Arial" w:hAnsi="Arial" w:cs="Arial"/>
          <w:color w:val="000000" w:themeColor="text1"/>
        </w:rPr>
        <w:t xml:space="preserve"> cost to total expenditure to not exceed 8%;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Long-term</w:t>
      </w:r>
      <w:r w:rsidR="00000732" w:rsidRPr="008D7023">
        <w:rPr>
          <w:rFonts w:ascii="Arial" w:hAnsi="Arial" w:cs="Arial"/>
          <w:color w:val="000000" w:themeColor="text1"/>
        </w:rPr>
        <w:t xml:space="preserve"> debt to revenue (excluding grants) not to exceed 50%;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Payment</w:t>
      </w:r>
      <w:r w:rsidR="00000732" w:rsidRPr="008D7023">
        <w:rPr>
          <w:rFonts w:ascii="Arial" w:hAnsi="Arial" w:cs="Arial"/>
          <w:color w:val="000000" w:themeColor="text1"/>
        </w:rPr>
        <w:t xml:space="preserve"> rate of above 95%;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Percentages</w:t>
      </w:r>
      <w:r w:rsidR="00000732" w:rsidRPr="008D7023">
        <w:rPr>
          <w:rFonts w:ascii="Arial" w:hAnsi="Arial" w:cs="Arial"/>
          <w:color w:val="000000" w:themeColor="text1"/>
        </w:rPr>
        <w:t xml:space="preserve"> of capital charges to operating expenditure less than 18%.</w:t>
      </w:r>
    </w:p>
    <w:p w:rsidR="00E7049A" w:rsidRPr="008D7023" w:rsidRDefault="00E7049A" w:rsidP="00E7049A">
      <w:pPr>
        <w:pStyle w:val="ListParagraph"/>
        <w:spacing w:line="360" w:lineRule="auto"/>
        <w:ind w:left="1843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E7049A">
      <w:pPr>
        <w:pStyle w:val="ListParagraph"/>
        <w:numPr>
          <w:ilvl w:val="0"/>
          <w:numId w:val="18"/>
        </w:numPr>
        <w:spacing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Allocations to capital projects from cash back internal reserves will be based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on the available funding for each ring-fenced reserve according to the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conditions of each reserve as follows: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Infrastructure</w:t>
      </w:r>
      <w:r w:rsidR="00000732" w:rsidRPr="008D7023">
        <w:rPr>
          <w:rFonts w:ascii="Arial" w:hAnsi="Arial" w:cs="Arial"/>
          <w:color w:val="000000" w:themeColor="text1"/>
        </w:rPr>
        <w:t xml:space="preserve"> projects to service new developments and the revenue is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AC1199" w:rsidRPr="008D7023">
        <w:rPr>
          <w:rFonts w:ascii="Arial" w:hAnsi="Arial" w:cs="Arial"/>
          <w:color w:val="000000" w:themeColor="text1"/>
        </w:rPr>
        <w:t>received through the sale</w:t>
      </w:r>
      <w:r w:rsidR="00000732" w:rsidRPr="008D7023">
        <w:rPr>
          <w:rFonts w:ascii="Arial" w:hAnsi="Arial" w:cs="Arial"/>
          <w:color w:val="000000" w:themeColor="text1"/>
        </w:rPr>
        <w:t xml:space="preserve"> must be allocated to the capital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 xml:space="preserve">reserve for </w:t>
      </w:r>
      <w:r w:rsidRPr="008D7023">
        <w:rPr>
          <w:rFonts w:ascii="Arial" w:hAnsi="Arial" w:cs="Arial"/>
          <w:color w:val="000000" w:themeColor="text1"/>
        </w:rPr>
        <w:t>services;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Capital</w:t>
      </w:r>
      <w:r w:rsidR="00000732" w:rsidRPr="008D7023">
        <w:rPr>
          <w:rFonts w:ascii="Arial" w:hAnsi="Arial" w:cs="Arial"/>
          <w:color w:val="000000" w:themeColor="text1"/>
        </w:rPr>
        <w:t xml:space="preserve"> projects of a smaller nature such as office equipment, furniture,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plant and equipment etc. must be allocated to the capital reserve from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revenue which is funding from the revenue budget for that specific year.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 xml:space="preserve">A </w:t>
      </w:r>
      <w:r w:rsidR="00000732" w:rsidRPr="008D7023">
        <w:rPr>
          <w:rFonts w:ascii="Arial" w:hAnsi="Arial" w:cs="Arial"/>
          <w:color w:val="000000" w:themeColor="text1"/>
        </w:rPr>
        <w:lastRenderedPageBreak/>
        <w:t>general principle is that these types of capital expenditure should not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exceed more than 1% of total operating expenditure;</w:t>
      </w:r>
    </w:p>
    <w:p w:rsidR="004348E9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Capital</w:t>
      </w:r>
      <w:r w:rsidR="00000732" w:rsidRPr="008D7023">
        <w:rPr>
          <w:rFonts w:ascii="Arial" w:hAnsi="Arial" w:cs="Arial"/>
          <w:color w:val="000000" w:themeColor="text1"/>
        </w:rPr>
        <w:t xml:space="preserve"> projects to replace and/or upgrade existing assets will be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allocated to the capital replacement reserve;</w:t>
      </w:r>
    </w:p>
    <w:p w:rsidR="00000732" w:rsidRPr="008D7023" w:rsidRDefault="004348E9" w:rsidP="00E7049A">
      <w:pPr>
        <w:pStyle w:val="ListParagraph"/>
        <w:numPr>
          <w:ilvl w:val="1"/>
          <w:numId w:val="18"/>
        </w:numPr>
        <w:spacing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Capital</w:t>
      </w:r>
      <w:r w:rsidR="00000732" w:rsidRPr="008D7023">
        <w:rPr>
          <w:rFonts w:ascii="Arial" w:hAnsi="Arial" w:cs="Arial"/>
          <w:color w:val="000000" w:themeColor="text1"/>
        </w:rPr>
        <w:t xml:space="preserve"> projects to upgrade bulk services will be allocated to the capital</w:t>
      </w:r>
      <w:r w:rsidR="00E7049A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bulk contributions reserve for each service.</w:t>
      </w:r>
    </w:p>
    <w:p w:rsidR="00000732" w:rsidRPr="008D7023" w:rsidRDefault="00000732" w:rsidP="009B2164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All capital projects have an effect on future operating budget therefore the following</w:t>
      </w:r>
      <w:r w:rsidR="009B2164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cost factors should be considered before approval: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personnel cost to staff new facilities once operational;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contracted services, that is, security, cleaning etc.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general expenditure, that is, services cost, stationery, telephones,</w:t>
      </w:r>
      <w:r w:rsidR="009B2164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material etc.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other capital requirements to the operate facility, that is, vehicles,</w:t>
      </w:r>
      <w:r w:rsidR="009B2164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plant and equipment, furniture and office equipment etc.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costs to maintain the assets;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interest and redemption in the case of borrowings;</w:t>
      </w:r>
    </w:p>
    <w:p w:rsidR="00000732" w:rsidRPr="008D7023" w:rsidRDefault="004348E9" w:rsidP="009B2164">
      <w:pPr>
        <w:pStyle w:val="ListParagraph"/>
        <w:numPr>
          <w:ilvl w:val="0"/>
          <w:numId w:val="19"/>
        </w:num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depreciation charges;</w:t>
      </w:r>
    </w:p>
    <w:p w:rsidR="004348E9" w:rsidRPr="008D7023" w:rsidRDefault="004348E9" w:rsidP="004A3A17">
      <w:pPr>
        <w:pStyle w:val="ListParagraph"/>
        <w:numPr>
          <w:ilvl w:val="0"/>
          <w:numId w:val="19"/>
        </w:numPr>
        <w:spacing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Additional</w:t>
      </w:r>
      <w:r w:rsidR="00000732" w:rsidRPr="008D7023">
        <w:rPr>
          <w:rFonts w:ascii="Arial" w:hAnsi="Arial" w:cs="Arial"/>
          <w:color w:val="000000" w:themeColor="text1"/>
        </w:rPr>
        <w:t xml:space="preserve"> revenue generation. The impact of expenditure items must be</w:t>
      </w:r>
      <w:r w:rsidR="009B2164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offset by additional revenue generated to determine the real impact on tariffs.</w:t>
      </w:r>
    </w:p>
    <w:p w:rsidR="004A3A17" w:rsidRPr="008D7023" w:rsidRDefault="004A3A17" w:rsidP="004A3A17">
      <w:pPr>
        <w:pStyle w:val="ListParagraph"/>
        <w:spacing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RESERVES</w:t>
      </w:r>
    </w:p>
    <w:p w:rsidR="009221D8" w:rsidRPr="008D7023" w:rsidRDefault="009221D8" w:rsidP="009221D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000732" w:rsidRPr="008D7023" w:rsidRDefault="00000732" w:rsidP="009221D8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All reserves are “</w:t>
      </w:r>
      <w:r w:rsidRPr="008D7023">
        <w:rPr>
          <w:rFonts w:ascii="Arial" w:hAnsi="Arial" w:cs="Arial"/>
          <w:i/>
          <w:iCs/>
          <w:color w:val="000000" w:themeColor="text1"/>
        </w:rPr>
        <w:t>ring fenced</w:t>
      </w:r>
      <w:r w:rsidRPr="008D7023">
        <w:rPr>
          <w:rFonts w:ascii="Arial" w:hAnsi="Arial" w:cs="Arial"/>
          <w:color w:val="000000" w:themeColor="text1"/>
        </w:rPr>
        <w:t>” as internal reserves within the accumulated surplus,</w:t>
      </w:r>
      <w:r w:rsidR="004A3A17" w:rsidRPr="008D7023">
        <w:rPr>
          <w:rFonts w:ascii="Arial" w:hAnsi="Arial" w:cs="Arial"/>
          <w:color w:val="000000" w:themeColor="text1"/>
        </w:rPr>
        <w:t xml:space="preserve"> </w:t>
      </w:r>
      <w:r w:rsidR="00114873" w:rsidRPr="008D7023">
        <w:rPr>
          <w:rFonts w:ascii="Arial" w:hAnsi="Arial" w:cs="Arial"/>
          <w:strike/>
          <w:color w:val="000000" w:themeColor="text1"/>
        </w:rPr>
        <w:t>e</w:t>
      </w:r>
      <w:r w:rsidR="004348E9" w:rsidRPr="008D7023">
        <w:rPr>
          <w:rFonts w:ascii="Arial" w:hAnsi="Arial" w:cs="Arial"/>
          <w:color w:val="000000" w:themeColor="text1"/>
        </w:rPr>
        <w:t>xcept</w:t>
      </w:r>
      <w:r w:rsidRPr="008D7023">
        <w:rPr>
          <w:rFonts w:ascii="Arial" w:hAnsi="Arial" w:cs="Arial"/>
          <w:color w:val="000000" w:themeColor="text1"/>
        </w:rPr>
        <w:t xml:space="preserve"> for provisions as allowed by the General Recognized Accounting Practices</w:t>
      </w:r>
      <w:r w:rsidR="004A3A1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(GRAP).</w:t>
      </w:r>
    </w:p>
    <w:p w:rsidR="00000732" w:rsidRPr="008D7023" w:rsidRDefault="00000732" w:rsidP="004A3A17">
      <w:pPr>
        <w:pStyle w:val="ListParagraph"/>
        <w:numPr>
          <w:ilvl w:val="1"/>
          <w:numId w:val="6"/>
        </w:numPr>
        <w:spacing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following ring fenced reserves exist:</w:t>
      </w:r>
    </w:p>
    <w:p w:rsidR="00000732" w:rsidRPr="008D7023" w:rsidRDefault="00000732" w:rsidP="004A3A17">
      <w:pPr>
        <w:pStyle w:val="ListParagraph"/>
        <w:numPr>
          <w:ilvl w:val="0"/>
          <w:numId w:val="20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Capital reserve for new developments</w:t>
      </w:r>
    </w:p>
    <w:p w:rsidR="00000732" w:rsidRPr="008D7023" w:rsidRDefault="00A62742" w:rsidP="004A3A17">
      <w:pPr>
        <w:tabs>
          <w:tab w:val="left" w:pos="1276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This reserve is used to fund capital expenditure to service new developments.</w:t>
      </w:r>
    </w:p>
    <w:p w:rsidR="003E7E47" w:rsidRPr="008D7023" w:rsidRDefault="00000732" w:rsidP="003E7E47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Each development is ring fenced within this reserve. The valu</w:t>
      </w:r>
      <w:r w:rsidR="004A3A17" w:rsidRPr="008D7023">
        <w:rPr>
          <w:rFonts w:ascii="Arial" w:hAnsi="Arial" w:cs="Arial"/>
          <w:color w:val="000000" w:themeColor="text1"/>
        </w:rPr>
        <w:t>ator</w:t>
      </w:r>
      <w:r w:rsidR="00114873" w:rsidRPr="008D7023">
        <w:rPr>
          <w:rFonts w:ascii="Arial" w:hAnsi="Arial" w:cs="Arial"/>
          <w:strike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determines</w:t>
      </w:r>
      <w:r w:rsidR="004A3A17" w:rsidRPr="008D7023">
        <w:rPr>
          <w:rFonts w:ascii="Arial" w:hAnsi="Arial" w:cs="Arial"/>
          <w:color w:val="000000" w:themeColor="text1"/>
        </w:rPr>
        <w:t xml:space="preserve"> </w:t>
      </w:r>
      <w:r w:rsidR="00114873" w:rsidRPr="008D7023">
        <w:rPr>
          <w:rFonts w:ascii="Arial" w:hAnsi="Arial" w:cs="Arial"/>
          <w:color w:val="000000" w:themeColor="text1"/>
        </w:rPr>
        <w:t xml:space="preserve">the price for the </w:t>
      </w:r>
      <w:r w:rsidR="004A3A17" w:rsidRPr="008D7023">
        <w:rPr>
          <w:rFonts w:ascii="Arial" w:hAnsi="Arial" w:cs="Arial"/>
          <w:color w:val="000000" w:themeColor="text1"/>
        </w:rPr>
        <w:t>stand/land/site</w:t>
      </w:r>
      <w:r w:rsidRPr="008D7023">
        <w:rPr>
          <w:rFonts w:ascii="Arial" w:hAnsi="Arial" w:cs="Arial"/>
          <w:color w:val="000000" w:themeColor="text1"/>
        </w:rPr>
        <w:t xml:space="preserve"> to be sold and the revenue generated through the sale</w:t>
      </w:r>
      <w:r w:rsidR="004A3A1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of </w:t>
      </w:r>
      <w:r w:rsidR="00A62742" w:rsidRPr="008D7023">
        <w:rPr>
          <w:rFonts w:ascii="Arial" w:hAnsi="Arial" w:cs="Arial"/>
          <w:color w:val="000000" w:themeColor="text1"/>
        </w:rPr>
        <w:t>even</w:t>
      </w:r>
      <w:r w:rsidRPr="008D7023">
        <w:rPr>
          <w:rFonts w:ascii="Arial" w:hAnsi="Arial" w:cs="Arial"/>
          <w:color w:val="000000" w:themeColor="text1"/>
        </w:rPr>
        <w:t xml:space="preserve"> is then allocated to the specific development. This reserve must be</w:t>
      </w:r>
      <w:r w:rsidR="004A3A1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cash backed to ensure the availability of cash to fund the capital expenditure</w:t>
      </w:r>
      <w:r w:rsidR="004A3A17" w:rsidRPr="008D7023">
        <w:rPr>
          <w:rFonts w:ascii="Arial" w:hAnsi="Arial" w:cs="Arial"/>
          <w:color w:val="000000" w:themeColor="text1"/>
        </w:rPr>
        <w:t xml:space="preserve"> </w:t>
      </w:r>
      <w:r w:rsidR="00114873" w:rsidRPr="008D7023">
        <w:rPr>
          <w:rFonts w:ascii="Arial" w:hAnsi="Arial" w:cs="Arial"/>
          <w:color w:val="000000" w:themeColor="text1"/>
        </w:rPr>
        <w:t xml:space="preserve">required to service the </w:t>
      </w:r>
      <w:r w:rsidR="004A3A17" w:rsidRPr="008D7023">
        <w:rPr>
          <w:rFonts w:ascii="Arial" w:hAnsi="Arial" w:cs="Arial"/>
          <w:color w:val="000000" w:themeColor="text1"/>
        </w:rPr>
        <w:t>stand/land/site</w:t>
      </w:r>
    </w:p>
    <w:p w:rsidR="00000732" w:rsidRPr="008D7023" w:rsidRDefault="00000732" w:rsidP="003E7E47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.</w:t>
      </w:r>
    </w:p>
    <w:p w:rsidR="00000732" w:rsidRPr="008D7023" w:rsidRDefault="00000732" w:rsidP="003E7E47">
      <w:pPr>
        <w:pStyle w:val="ListParagraph"/>
        <w:numPr>
          <w:ilvl w:val="0"/>
          <w:numId w:val="20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Capital replacement reserve</w:t>
      </w:r>
    </w:p>
    <w:p w:rsidR="003E7E47" w:rsidRPr="008D7023" w:rsidRDefault="00A62742" w:rsidP="003E7E47">
      <w:p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Funding for capital budgets of future financial years are generated through a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combination of methods. Once a municipality has reached its maximum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gearing ability no further borrowings can be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taken up. This necessitates that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 xml:space="preserve">the </w:t>
      </w:r>
      <w:r w:rsidR="00000732" w:rsidRPr="008D7023">
        <w:rPr>
          <w:rFonts w:ascii="Arial" w:hAnsi="Arial" w:cs="Arial"/>
          <w:color w:val="000000" w:themeColor="text1"/>
        </w:rPr>
        <w:lastRenderedPageBreak/>
        <w:t>municipality also invests in a capital replacement reserve, however, it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must be cash backed.</w:t>
      </w:r>
    </w:p>
    <w:p w:rsidR="00000732" w:rsidRPr="008D7023" w:rsidRDefault="00000732" w:rsidP="003E7E47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This reserve once fully established will enable the municipality to provide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internal funding for its capital replacement and renewal programme.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In the past the cash generated from depreciation was used for the redemption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payments on borrowings only. The increased asset value as a result of GRAP17 has resulted that the depreciation charges increased drastically which was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not supported by cash.</w:t>
      </w:r>
    </w:p>
    <w:p w:rsidR="00000732" w:rsidRPr="008D7023" w:rsidRDefault="00462924" w:rsidP="0031769B">
      <w:p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To limit the tariff increases a non-cash contribution was made from the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depreciation reserve to offset the depreciation charge.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Depreciation is a method to generate future cash. Therefore it is anticipated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 xml:space="preserve">to annually incrementally decrease the </w:t>
      </w:r>
      <w:r w:rsidR="00A62742" w:rsidRPr="008D7023">
        <w:rPr>
          <w:rFonts w:ascii="Arial" w:hAnsi="Arial" w:cs="Arial"/>
          <w:color w:val="000000" w:themeColor="text1"/>
        </w:rPr>
        <w:t>offset depreciation</w:t>
      </w:r>
      <w:r w:rsidR="00000732" w:rsidRPr="008D7023">
        <w:rPr>
          <w:rFonts w:ascii="Arial" w:hAnsi="Arial" w:cs="Arial"/>
          <w:color w:val="000000" w:themeColor="text1"/>
        </w:rPr>
        <w:t xml:space="preserve"> charge from the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depreciation reserve with 2% until the depreciation is fully funded from cash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through tariff setting.</w:t>
      </w:r>
      <w:r w:rsidR="00B5433F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 xml:space="preserve">Other </w:t>
      </w:r>
      <w:r w:rsidR="00A62742" w:rsidRPr="008D7023">
        <w:rPr>
          <w:rFonts w:ascii="Arial" w:hAnsi="Arial" w:cs="Arial"/>
          <w:color w:val="000000" w:themeColor="text1"/>
        </w:rPr>
        <w:t>contributions to the capital replacement reserve through the operating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A62742" w:rsidRPr="008D7023">
        <w:rPr>
          <w:rFonts w:ascii="Arial" w:hAnsi="Arial" w:cs="Arial"/>
          <w:color w:val="000000" w:themeColor="text1"/>
        </w:rPr>
        <w:t>budget are</w:t>
      </w:r>
      <w:r w:rsidR="00000732" w:rsidRPr="008D7023">
        <w:rPr>
          <w:rFonts w:ascii="Arial" w:hAnsi="Arial" w:cs="Arial"/>
          <w:color w:val="000000" w:themeColor="text1"/>
        </w:rPr>
        <w:t>:</w:t>
      </w:r>
    </w:p>
    <w:p w:rsidR="00000732" w:rsidRPr="008D7023" w:rsidRDefault="00A62742" w:rsidP="003E7E47">
      <w:pPr>
        <w:pStyle w:val="ListParagraph"/>
        <w:numPr>
          <w:ilvl w:val="0"/>
          <w:numId w:val="19"/>
        </w:numPr>
        <w:spacing w:after="0"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Interest</w:t>
      </w:r>
      <w:r w:rsidR="00000732" w:rsidRPr="008D7023">
        <w:rPr>
          <w:rFonts w:ascii="Arial" w:hAnsi="Arial" w:cs="Arial"/>
          <w:color w:val="000000" w:themeColor="text1"/>
        </w:rPr>
        <w:t xml:space="preserve"> received on investments;</w:t>
      </w:r>
    </w:p>
    <w:p w:rsidR="00000732" w:rsidRPr="008D7023" w:rsidRDefault="00A62742" w:rsidP="00DB420F">
      <w:pPr>
        <w:pStyle w:val="ListParagraph"/>
        <w:numPr>
          <w:ilvl w:val="0"/>
          <w:numId w:val="19"/>
        </w:numPr>
        <w:spacing w:after="0"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Surface</w:t>
      </w:r>
      <w:r w:rsidR="00000732" w:rsidRPr="008D7023">
        <w:rPr>
          <w:rFonts w:ascii="Arial" w:hAnsi="Arial" w:cs="Arial"/>
          <w:color w:val="000000" w:themeColor="text1"/>
        </w:rPr>
        <w:t xml:space="preserve"> rentals from </w:t>
      </w:r>
      <w:r w:rsidRPr="008D7023">
        <w:rPr>
          <w:rFonts w:ascii="Arial" w:hAnsi="Arial" w:cs="Arial"/>
          <w:color w:val="000000" w:themeColor="text1"/>
        </w:rPr>
        <w:t>MPCC</w:t>
      </w:r>
      <w:r w:rsidR="00000732" w:rsidRPr="008D7023">
        <w:rPr>
          <w:rFonts w:ascii="Arial" w:hAnsi="Arial" w:cs="Arial"/>
          <w:color w:val="000000" w:themeColor="text1"/>
        </w:rPr>
        <w:t xml:space="preserve"> as identified from time to time; and</w:t>
      </w:r>
      <w:r w:rsidR="003E7E47" w:rsidRPr="008D7023">
        <w:rPr>
          <w:rFonts w:ascii="Arial" w:hAnsi="Arial" w:cs="Arial"/>
          <w:color w:val="000000" w:themeColor="text1"/>
        </w:rPr>
        <w:t xml:space="preserve"> t</w:t>
      </w:r>
      <w:r w:rsidR="00000732" w:rsidRPr="008D7023">
        <w:rPr>
          <w:rFonts w:ascii="Arial" w:hAnsi="Arial" w:cs="Arial"/>
          <w:color w:val="000000" w:themeColor="text1"/>
        </w:rPr>
        <w:t>his reserve must be cash backed to ensure the availability of cash to fund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the municipal capital programme.</w:t>
      </w:r>
    </w:p>
    <w:p w:rsidR="003E7E47" w:rsidRPr="008D7023" w:rsidRDefault="003E7E47" w:rsidP="003E7E47">
      <w:pPr>
        <w:spacing w:after="0" w:line="360" w:lineRule="auto"/>
        <w:ind w:left="1843" w:hanging="567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3E7E47">
      <w:pPr>
        <w:pStyle w:val="ListParagraph"/>
        <w:numPr>
          <w:ilvl w:val="0"/>
          <w:numId w:val="20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Bulk capital contribution reserves</w:t>
      </w:r>
    </w:p>
    <w:p w:rsidR="00000732" w:rsidRPr="008D7023" w:rsidRDefault="00A62742" w:rsidP="003E7E47">
      <w:pPr>
        <w:spacing w:after="0" w:line="360" w:lineRule="auto"/>
        <w:ind w:left="1276" w:hanging="55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ab/>
      </w:r>
      <w:r w:rsidR="00000732" w:rsidRPr="008D7023">
        <w:rPr>
          <w:rFonts w:ascii="Arial" w:hAnsi="Arial" w:cs="Arial"/>
          <w:color w:val="000000" w:themeColor="text1"/>
        </w:rPr>
        <w:t>This reserve is to supplement capital expenditure for the necessary expansions and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upgrading of bulk infrastructure due to new developments. Revenue generated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through bulk services contributions are allocated to this reserve for each applicable</w:t>
      </w:r>
      <w:r w:rsidR="003E7E47" w:rsidRPr="008D7023">
        <w:rPr>
          <w:rFonts w:ascii="Arial" w:hAnsi="Arial" w:cs="Arial"/>
          <w:color w:val="000000" w:themeColor="text1"/>
        </w:rPr>
        <w:t xml:space="preserve"> </w:t>
      </w:r>
      <w:r w:rsidR="00000732" w:rsidRPr="008D7023">
        <w:rPr>
          <w:rFonts w:ascii="Arial" w:hAnsi="Arial" w:cs="Arial"/>
          <w:color w:val="000000" w:themeColor="text1"/>
        </w:rPr>
        <w:t>service. This reserve must also be cash backed.</w:t>
      </w:r>
    </w:p>
    <w:p w:rsidR="00A62742" w:rsidRPr="008D7023" w:rsidRDefault="00A62742" w:rsidP="00DA6A05">
      <w:pPr>
        <w:spacing w:line="360" w:lineRule="auto"/>
        <w:ind w:left="1440" w:hanging="720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PROVISIONS</w:t>
      </w:r>
    </w:p>
    <w:p w:rsidR="004131C2" w:rsidRPr="008D7023" w:rsidRDefault="004131C2" w:rsidP="004131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A62742" w:rsidRPr="008D7023" w:rsidRDefault="00000732" w:rsidP="004131C2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A provision is recognised when the municipality has a present obligation as a result of a past</w:t>
      </w:r>
      <w:r w:rsidR="00F1437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event and it is probable, more likely than not, that an outflow of resources embodying</w:t>
      </w:r>
      <w:r w:rsidR="00F1437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economic benefits or service potential will be required to settle the obligation and a reliable</w:t>
      </w:r>
      <w:r w:rsidR="00F1437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estimate can be made of the amount of the obligation.</w:t>
      </w:r>
    </w:p>
    <w:p w:rsidR="00000732" w:rsidRPr="008D7023" w:rsidRDefault="00000732" w:rsidP="00BF7A5C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Provisions are revised annually and those estimates to be settled within the next twelve (12)</w:t>
      </w:r>
      <w:r w:rsidR="00BF7A5C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months are treated as current liabilities.</w:t>
      </w:r>
      <w:r w:rsidR="00BF7A5C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The municipality has the following provisions:</w:t>
      </w:r>
    </w:p>
    <w:p w:rsidR="00DB420F" w:rsidRPr="008D7023" w:rsidRDefault="00DB420F" w:rsidP="00BF7A5C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8F74B9">
      <w:pPr>
        <w:pStyle w:val="ListParagraph"/>
        <w:numPr>
          <w:ilvl w:val="0"/>
          <w:numId w:val="24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Leave provision</w:t>
      </w:r>
    </w:p>
    <w:p w:rsidR="00000732" w:rsidRPr="008D7023" w:rsidRDefault="00000732" w:rsidP="008F74B9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lastRenderedPageBreak/>
        <w:t>Liabilities for annual leave are recognised as they accrue to employees. An annual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provision is made from the operating budget to the leave provision. Due to the fact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that not all leave balances are redeemed for cash, only 75% of the leave provision is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cash backed.</w:t>
      </w:r>
    </w:p>
    <w:p w:rsidR="008F74B9" w:rsidRPr="008D7023" w:rsidRDefault="008F74B9" w:rsidP="008F74B9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8F74B9">
      <w:pPr>
        <w:pStyle w:val="ListParagraph"/>
        <w:numPr>
          <w:ilvl w:val="0"/>
          <w:numId w:val="24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Landfill rehabilitation provision</w:t>
      </w:r>
    </w:p>
    <w:p w:rsidR="00000732" w:rsidRPr="008D7023" w:rsidRDefault="00000732" w:rsidP="008F74B9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landfill site rehabilitation provision is created for the current operational site at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the future estimated time of closure. The value of the provision is based on the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expected future cost to rehabilitate the landfill site. This provision must be cash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backed to ensure availability of cash for rehabilitation on closure.</w:t>
      </w:r>
    </w:p>
    <w:p w:rsidR="008F74B9" w:rsidRPr="008D7023" w:rsidRDefault="008F74B9" w:rsidP="008F74B9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8F74B9">
      <w:pPr>
        <w:pStyle w:val="ListParagraph"/>
        <w:numPr>
          <w:ilvl w:val="0"/>
          <w:numId w:val="24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Long services awards</w:t>
      </w:r>
    </w:p>
    <w:p w:rsidR="00000732" w:rsidRPr="008D7023" w:rsidRDefault="00000732" w:rsidP="008F74B9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Municipal employees are awarded leave days according to years in service at yearend. Due to the fact that not all long service leave balances are redeemed for cash,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only 75% of the long service leave provision is cash backed.</w:t>
      </w:r>
    </w:p>
    <w:p w:rsidR="008F74B9" w:rsidRPr="008D7023" w:rsidRDefault="008F74B9" w:rsidP="008F74B9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8F74B9">
      <w:pPr>
        <w:pStyle w:val="ListParagraph"/>
        <w:numPr>
          <w:ilvl w:val="0"/>
          <w:numId w:val="24"/>
        </w:numPr>
        <w:spacing w:after="0" w:line="360" w:lineRule="auto"/>
        <w:ind w:left="1276" w:hanging="556"/>
        <w:jc w:val="both"/>
        <w:rPr>
          <w:rFonts w:ascii="Arial" w:hAnsi="Arial" w:cs="Arial"/>
          <w:b/>
          <w:iCs/>
          <w:color w:val="000000" w:themeColor="text1"/>
        </w:rPr>
      </w:pPr>
      <w:proofErr w:type="spellStart"/>
      <w:r w:rsidRPr="008D7023">
        <w:rPr>
          <w:rFonts w:ascii="Arial" w:hAnsi="Arial" w:cs="Arial"/>
          <w:b/>
          <w:iCs/>
          <w:color w:val="000000" w:themeColor="text1"/>
        </w:rPr>
        <w:t>Post employment</w:t>
      </w:r>
      <w:proofErr w:type="spellEnd"/>
      <w:r w:rsidRPr="008D7023">
        <w:rPr>
          <w:rFonts w:ascii="Arial" w:hAnsi="Arial" w:cs="Arial"/>
          <w:b/>
          <w:iCs/>
          <w:color w:val="000000" w:themeColor="text1"/>
        </w:rPr>
        <w:t xml:space="preserve"> medical care benefits</w:t>
      </w:r>
    </w:p>
    <w:p w:rsidR="00182AD6" w:rsidRPr="008D7023" w:rsidRDefault="00000732" w:rsidP="00A50F51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The </w:t>
      </w:r>
      <w:r w:rsidR="008F74B9" w:rsidRPr="008D7023">
        <w:rPr>
          <w:rFonts w:ascii="Arial" w:hAnsi="Arial" w:cs="Arial"/>
          <w:color w:val="000000" w:themeColor="text1"/>
        </w:rPr>
        <w:t>M</w:t>
      </w:r>
      <w:r w:rsidRPr="008D7023">
        <w:rPr>
          <w:rFonts w:ascii="Arial" w:hAnsi="Arial" w:cs="Arial"/>
          <w:color w:val="000000" w:themeColor="text1"/>
        </w:rPr>
        <w:t xml:space="preserve">unicipality provides </w:t>
      </w:r>
      <w:r w:rsidR="00182AD6" w:rsidRPr="008D7023">
        <w:rPr>
          <w:rFonts w:ascii="Arial" w:hAnsi="Arial" w:cs="Arial"/>
          <w:color w:val="000000" w:themeColor="text1"/>
        </w:rPr>
        <w:t>post-retirement</w:t>
      </w:r>
      <w:r w:rsidRPr="008D7023">
        <w:rPr>
          <w:rFonts w:ascii="Arial" w:hAnsi="Arial" w:cs="Arial"/>
          <w:color w:val="000000" w:themeColor="text1"/>
        </w:rPr>
        <w:t xml:space="preserve"> medical care benefits by subsidi</w:t>
      </w:r>
      <w:r w:rsidR="008F74B9" w:rsidRPr="008D7023">
        <w:rPr>
          <w:rFonts w:ascii="Arial" w:hAnsi="Arial" w:cs="Arial"/>
          <w:color w:val="000000" w:themeColor="text1"/>
        </w:rPr>
        <w:t>s</w:t>
      </w:r>
      <w:r w:rsidRPr="008D7023">
        <w:rPr>
          <w:rFonts w:ascii="Arial" w:hAnsi="Arial" w:cs="Arial"/>
          <w:color w:val="000000" w:themeColor="text1"/>
        </w:rPr>
        <w:t>ing the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medical aid contributions to retired employees and their legitimate spouses. The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entitlement to </w:t>
      </w:r>
      <w:r w:rsidR="00182AD6" w:rsidRPr="008D7023">
        <w:rPr>
          <w:rFonts w:ascii="Arial" w:hAnsi="Arial" w:cs="Arial"/>
          <w:color w:val="000000" w:themeColor="text1"/>
        </w:rPr>
        <w:t>post-retirement</w:t>
      </w:r>
      <w:r w:rsidRPr="008D7023">
        <w:rPr>
          <w:rFonts w:ascii="Arial" w:hAnsi="Arial" w:cs="Arial"/>
          <w:color w:val="000000" w:themeColor="text1"/>
        </w:rPr>
        <w:t xml:space="preserve"> medical benefits is based on employees remaining in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service up to retirement age and the completion of a minimum service period. The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expected cost of these benefits is accrued over a period of employment. This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provision must be cash backed to ensure the availability of cash for the payment of</w:t>
      </w:r>
      <w:r w:rsidR="008F74B9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medical aid payments.</w:t>
      </w:r>
    </w:p>
    <w:p w:rsidR="00A50F51" w:rsidRPr="008D7023" w:rsidRDefault="00A50F51" w:rsidP="00A50F51">
      <w:pPr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182AD6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OTHER ITEMS TO BE CASH BACKED</w:t>
      </w:r>
    </w:p>
    <w:p w:rsidR="004131C2" w:rsidRPr="008D7023" w:rsidRDefault="004131C2" w:rsidP="004131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iCs/>
          <w:vanish/>
          <w:color w:val="000000" w:themeColor="text1"/>
        </w:rPr>
      </w:pPr>
    </w:p>
    <w:p w:rsidR="00000732" w:rsidRPr="008D7023" w:rsidRDefault="00000732" w:rsidP="004131C2">
      <w:pPr>
        <w:pStyle w:val="ListParagraph"/>
        <w:numPr>
          <w:ilvl w:val="1"/>
          <w:numId w:val="6"/>
        </w:numPr>
        <w:spacing w:after="0" w:line="360" w:lineRule="auto"/>
        <w:ind w:left="360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Donations, public contributions, unspent grant funding</w:t>
      </w:r>
    </w:p>
    <w:p w:rsidR="00182AD6" w:rsidRPr="008D7023" w:rsidRDefault="00000732" w:rsidP="00A50F51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Revenue received from conditional grants, donations and funding is recognised as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revenue to the extent that the municipality has complied with any of the criteria,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conditions or obligations embodied in the agreement. Unspent amounts in relation to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donations, public contributions and unspent grant funding are therefore retained in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cash and are not available to fund any other items on the operating or capital budget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other than that for which it was intended for.</w:t>
      </w:r>
    </w:p>
    <w:p w:rsidR="00A50F51" w:rsidRPr="008D7023" w:rsidRDefault="00A50F51" w:rsidP="00A50F51">
      <w:pPr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A50F51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="Arial" w:hAnsi="Arial" w:cs="Arial"/>
          <w:b/>
          <w:iCs/>
          <w:color w:val="000000" w:themeColor="text1"/>
        </w:rPr>
      </w:pPr>
      <w:r w:rsidRPr="008D7023">
        <w:rPr>
          <w:rFonts w:ascii="Arial" w:hAnsi="Arial" w:cs="Arial"/>
          <w:b/>
          <w:iCs/>
          <w:color w:val="000000" w:themeColor="text1"/>
        </w:rPr>
        <w:t>Consumer deposits</w:t>
      </w:r>
    </w:p>
    <w:p w:rsidR="00182AD6" w:rsidRPr="008D7023" w:rsidRDefault="00000732" w:rsidP="00025AB3">
      <w:p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Consumer deposits are partial security for a future payment of an account. Deposits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are considered a liability as the deposit is utilised on the account once the service is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lastRenderedPageBreak/>
        <w:t>terminated. Therefore the funds are owed to consumers and can therefore not be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utilised to fund the operating or capital budget.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Consumer deposits should be retained in cash. Due to the fact that it is not likely to</w:t>
      </w:r>
      <w:r w:rsidR="00A50F51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redeem all of the consumer deposits at once, only 75% are cash backed.</w:t>
      </w:r>
    </w:p>
    <w:p w:rsidR="00182AD6" w:rsidRPr="008D7023" w:rsidRDefault="00000732" w:rsidP="00461C9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bCs/>
          <w:color w:val="000000" w:themeColor="text1"/>
        </w:rPr>
      </w:pPr>
      <w:r w:rsidRPr="008D7023">
        <w:rPr>
          <w:rFonts w:ascii="Arial" w:hAnsi="Arial" w:cs="Arial"/>
          <w:b/>
          <w:bCs/>
          <w:color w:val="000000" w:themeColor="text1"/>
        </w:rPr>
        <w:t>IMPLEMENTATION AND REVIEW OF THIS POLICY</w:t>
      </w:r>
    </w:p>
    <w:p w:rsidR="004131C2" w:rsidRPr="008D7023" w:rsidRDefault="004131C2" w:rsidP="004131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vanish/>
          <w:color w:val="000000" w:themeColor="text1"/>
        </w:rPr>
      </w:pPr>
    </w:p>
    <w:p w:rsidR="00E95A1B" w:rsidRPr="008D7023" w:rsidRDefault="00000732" w:rsidP="00025AB3">
      <w:pPr>
        <w:pStyle w:val="ListParagraph"/>
        <w:numPr>
          <w:ilvl w:val="1"/>
          <w:numId w:val="6"/>
        </w:num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The Accounting Officer shall be responsible for the implementation and</w:t>
      </w:r>
      <w:r w:rsidR="00E95A1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 xml:space="preserve">administration of this </w:t>
      </w:r>
      <w:r w:rsidR="00E95A1B" w:rsidRPr="008D7023">
        <w:rPr>
          <w:rFonts w:ascii="Arial" w:hAnsi="Arial" w:cs="Arial"/>
          <w:color w:val="000000" w:themeColor="text1"/>
        </w:rPr>
        <w:t>P</w:t>
      </w:r>
      <w:r w:rsidRPr="008D7023">
        <w:rPr>
          <w:rFonts w:ascii="Arial" w:hAnsi="Arial" w:cs="Arial"/>
          <w:color w:val="000000" w:themeColor="text1"/>
        </w:rPr>
        <w:t>olicy with the assistance of the Strategic Executive Director for</w:t>
      </w:r>
      <w:r w:rsidR="00E95A1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Financial Services Department once approved by Council.</w:t>
      </w:r>
    </w:p>
    <w:p w:rsidR="00025AB3" w:rsidRPr="008D7023" w:rsidRDefault="00025AB3" w:rsidP="00025AB3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000732" w:rsidRPr="008D7023" w:rsidRDefault="00000732" w:rsidP="00025AB3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13.2 </w:t>
      </w:r>
      <w:r w:rsidR="00182AD6" w:rsidRPr="008D7023">
        <w:rPr>
          <w:rFonts w:ascii="Arial" w:hAnsi="Arial" w:cs="Arial"/>
          <w:color w:val="000000" w:themeColor="text1"/>
        </w:rPr>
        <w:tab/>
      </w:r>
      <w:r w:rsidRPr="008D7023">
        <w:rPr>
          <w:rFonts w:ascii="Arial" w:hAnsi="Arial" w:cs="Arial"/>
          <w:color w:val="000000" w:themeColor="text1"/>
        </w:rPr>
        <w:t>In terms of section 17(1) (e) of the Municipal Finance Management Act, 2003 this</w:t>
      </w:r>
      <w:r w:rsidR="00E95A1B" w:rsidRPr="008D7023">
        <w:rPr>
          <w:rFonts w:ascii="Arial" w:hAnsi="Arial" w:cs="Arial"/>
          <w:color w:val="000000" w:themeColor="text1"/>
        </w:rPr>
        <w:t xml:space="preserve"> P</w:t>
      </w:r>
      <w:r w:rsidRPr="008D7023">
        <w:rPr>
          <w:rFonts w:ascii="Arial" w:hAnsi="Arial" w:cs="Arial"/>
          <w:color w:val="000000" w:themeColor="text1"/>
        </w:rPr>
        <w:t>olicy shall be reviewed on annual basis to ensure that it complies with changes inapplicable legislation, regulations and any other directive issued by National</w:t>
      </w:r>
      <w:r w:rsidR="00182AD6" w:rsidRPr="008D7023">
        <w:rPr>
          <w:rFonts w:ascii="Arial" w:hAnsi="Arial" w:cs="Arial"/>
          <w:color w:val="000000" w:themeColor="text1"/>
        </w:rPr>
        <w:t xml:space="preserve"> Treasury and</w:t>
      </w:r>
      <w:r w:rsidRPr="008D7023">
        <w:rPr>
          <w:rFonts w:ascii="Arial" w:hAnsi="Arial" w:cs="Arial"/>
          <w:color w:val="000000" w:themeColor="text1"/>
        </w:rPr>
        <w:t xml:space="preserve"> tabled to Council for approval as part of the budget process.</w:t>
      </w:r>
    </w:p>
    <w:p w:rsidR="00025AB3" w:rsidRPr="008D7023" w:rsidRDefault="00025AB3" w:rsidP="00025AB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8109A" w:rsidRPr="008D7023" w:rsidRDefault="00000732" w:rsidP="00025AB3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 xml:space="preserve">13.3 </w:t>
      </w:r>
      <w:r w:rsidR="00182AD6" w:rsidRPr="008D7023">
        <w:rPr>
          <w:rFonts w:ascii="Arial" w:hAnsi="Arial" w:cs="Arial"/>
          <w:color w:val="000000" w:themeColor="text1"/>
        </w:rPr>
        <w:tab/>
      </w:r>
      <w:r w:rsidRPr="008D7023">
        <w:rPr>
          <w:rFonts w:ascii="Arial" w:hAnsi="Arial" w:cs="Arial"/>
          <w:color w:val="000000" w:themeColor="text1"/>
        </w:rPr>
        <w:t xml:space="preserve">This </w:t>
      </w:r>
      <w:r w:rsidR="00E95A1B" w:rsidRPr="008D7023">
        <w:rPr>
          <w:rFonts w:ascii="Arial" w:hAnsi="Arial" w:cs="Arial"/>
          <w:color w:val="000000" w:themeColor="text1"/>
        </w:rPr>
        <w:t>P</w:t>
      </w:r>
      <w:r w:rsidRPr="008D7023">
        <w:rPr>
          <w:rFonts w:ascii="Arial" w:hAnsi="Arial" w:cs="Arial"/>
          <w:color w:val="000000" w:themeColor="text1"/>
        </w:rPr>
        <w:t>olicy must be read in-conjunction with the Budget and Borrowing Policies;</w:t>
      </w:r>
      <w:r w:rsidR="00E95A1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Local Government Municipal Finance Management Act, Act 56 of 2003; and Local</w:t>
      </w:r>
      <w:r w:rsidR="00E95A1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Government Municipal Budget and Reporting Regulation, Regulation 393, published</w:t>
      </w:r>
      <w:r w:rsidR="00E95A1B" w:rsidRPr="008D7023">
        <w:rPr>
          <w:rFonts w:ascii="Arial" w:hAnsi="Arial" w:cs="Arial"/>
          <w:color w:val="000000" w:themeColor="text1"/>
        </w:rPr>
        <w:t xml:space="preserve"> </w:t>
      </w:r>
      <w:r w:rsidRPr="008D7023">
        <w:rPr>
          <w:rFonts w:ascii="Arial" w:hAnsi="Arial" w:cs="Arial"/>
          <w:color w:val="000000" w:themeColor="text1"/>
        </w:rPr>
        <w:t>under Government Gazette 32141, 17 April 2009.</w:t>
      </w:r>
      <w:bookmarkStart w:id="0" w:name="_GoBack"/>
      <w:bookmarkEnd w:id="0"/>
    </w:p>
    <w:p w:rsidR="00025AB3" w:rsidRPr="008D7023" w:rsidRDefault="00025AB3" w:rsidP="00025AB3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</w:rPr>
      </w:pPr>
    </w:p>
    <w:p w:rsidR="00FE1239" w:rsidRPr="008D7023" w:rsidRDefault="00FE1239" w:rsidP="00025AB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8D7023">
        <w:rPr>
          <w:rFonts w:ascii="Arial" w:hAnsi="Arial" w:cs="Arial"/>
          <w:b/>
          <w:color w:val="000000" w:themeColor="text1"/>
        </w:rPr>
        <w:t xml:space="preserve">COMPLIANCE ENFORCEMENT </w:t>
      </w:r>
    </w:p>
    <w:p w:rsidR="00FE1239" w:rsidRPr="008D7023" w:rsidRDefault="00FE1239" w:rsidP="00FE1239">
      <w:pPr>
        <w:numPr>
          <w:ilvl w:val="0"/>
          <w:numId w:val="31"/>
        </w:numPr>
        <w:tabs>
          <w:tab w:val="left" w:pos="0"/>
          <w:tab w:val="left" w:pos="567"/>
        </w:tabs>
        <w:spacing w:after="0" w:line="360" w:lineRule="auto"/>
        <w:ind w:left="1418" w:hanging="698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ab/>
        <w:t>Violation of or non-compliance with this Policy will give a just cause of disciplinary steps to be taken as per the Municipality’s disciplinary code of conduct.</w:t>
      </w:r>
    </w:p>
    <w:p w:rsidR="00FE1239" w:rsidRPr="008D7023" w:rsidRDefault="00FE1239" w:rsidP="00FE1239">
      <w:pPr>
        <w:numPr>
          <w:ilvl w:val="0"/>
          <w:numId w:val="31"/>
        </w:numPr>
        <w:tabs>
          <w:tab w:val="left" w:pos="0"/>
          <w:tab w:val="left" w:pos="567"/>
        </w:tabs>
        <w:spacing w:after="0" w:line="360" w:lineRule="auto"/>
        <w:ind w:left="1418" w:hanging="698"/>
        <w:jc w:val="both"/>
        <w:rPr>
          <w:rFonts w:ascii="Arial" w:hAnsi="Arial" w:cs="Arial"/>
          <w:color w:val="000000" w:themeColor="text1"/>
        </w:rPr>
      </w:pPr>
      <w:r w:rsidRPr="008D7023">
        <w:rPr>
          <w:rFonts w:ascii="Arial" w:hAnsi="Arial" w:cs="Arial"/>
          <w:color w:val="000000" w:themeColor="text1"/>
        </w:rPr>
        <w:t>It will be the responsibility of Accounting Officer to enforce compliance with this Policy.</w:t>
      </w:r>
    </w:p>
    <w:p w:rsidR="00025AB3" w:rsidRPr="008D7023" w:rsidRDefault="00025AB3" w:rsidP="003104DB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E1239" w:rsidRPr="008D7023" w:rsidRDefault="00FE1239" w:rsidP="00FE12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8D7023">
        <w:rPr>
          <w:rFonts w:ascii="Arial" w:hAnsi="Arial" w:cs="Arial"/>
          <w:b/>
          <w:color w:val="000000" w:themeColor="text1"/>
        </w:rPr>
        <w:t>EFFECTIVE DATE</w:t>
      </w:r>
    </w:p>
    <w:p w:rsidR="00FE1239" w:rsidRPr="008D7023" w:rsidRDefault="00FE1239" w:rsidP="00FE1239">
      <w:pPr>
        <w:pStyle w:val="BodyText"/>
        <w:ind w:left="709"/>
        <w:rPr>
          <w:b/>
          <w:color w:val="000000" w:themeColor="text1"/>
          <w:sz w:val="22"/>
          <w:szCs w:val="22"/>
        </w:rPr>
      </w:pPr>
      <w:r w:rsidRPr="008D7023">
        <w:rPr>
          <w:color w:val="000000" w:themeColor="text1"/>
          <w:sz w:val="22"/>
          <w:szCs w:val="22"/>
        </w:rPr>
        <w:t>The Policy shall come to effect upon approval by Council of the Municipality.</w:t>
      </w:r>
      <w:r w:rsidRPr="008D7023">
        <w:rPr>
          <w:b/>
          <w:color w:val="000000" w:themeColor="text1"/>
          <w:sz w:val="22"/>
          <w:szCs w:val="22"/>
        </w:rPr>
        <w:t xml:space="preserve"> </w:t>
      </w:r>
    </w:p>
    <w:p w:rsidR="00FE1239" w:rsidRPr="008D7023" w:rsidRDefault="00FE1239" w:rsidP="00FE1239">
      <w:pPr>
        <w:pStyle w:val="BodyText"/>
        <w:ind w:left="709"/>
        <w:rPr>
          <w:b/>
          <w:color w:val="000000" w:themeColor="text1"/>
          <w:sz w:val="22"/>
          <w:szCs w:val="22"/>
        </w:rPr>
      </w:pPr>
    </w:p>
    <w:p w:rsidR="00114873" w:rsidRPr="008D7023" w:rsidRDefault="00114873" w:rsidP="00FE1239">
      <w:pPr>
        <w:pStyle w:val="BodyText"/>
        <w:ind w:left="709"/>
        <w:rPr>
          <w:b/>
          <w:color w:val="000000" w:themeColor="text1"/>
          <w:sz w:val="22"/>
          <w:szCs w:val="22"/>
        </w:rPr>
      </w:pPr>
    </w:p>
    <w:p w:rsidR="00910603" w:rsidRPr="008D7023" w:rsidRDefault="00910603" w:rsidP="00FE123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caps/>
          <w:color w:val="000000" w:themeColor="text1"/>
          <w:lang w:val="en-US" w:eastAsia="en-GB"/>
        </w:rPr>
      </w:pPr>
      <w:r w:rsidRPr="008D7023">
        <w:rPr>
          <w:rFonts w:ascii="Arial" w:eastAsia="Times New Roman" w:hAnsi="Arial" w:cs="Arial"/>
          <w:b/>
          <w:caps/>
          <w:color w:val="000000" w:themeColor="text1"/>
          <w:lang w:val="en-US" w:eastAsia="en-GB"/>
        </w:rPr>
        <w:t>Policy Adoption</w:t>
      </w:r>
    </w:p>
    <w:p w:rsidR="00910603" w:rsidRPr="008D7023" w:rsidRDefault="00910603" w:rsidP="00FE1239">
      <w:pPr>
        <w:pStyle w:val="BodyText"/>
        <w:ind w:left="720"/>
        <w:rPr>
          <w:rFonts w:eastAsiaTheme="minorHAnsi"/>
          <w:color w:val="000000" w:themeColor="text1"/>
          <w:sz w:val="22"/>
          <w:szCs w:val="22"/>
          <w:lang w:val="en-GB"/>
        </w:rPr>
      </w:pPr>
      <w:r w:rsidRPr="008D7023">
        <w:rPr>
          <w:rFonts w:eastAsiaTheme="minorHAnsi"/>
          <w:color w:val="000000" w:themeColor="text1"/>
          <w:sz w:val="22"/>
          <w:szCs w:val="22"/>
          <w:lang w:val="en-GB"/>
        </w:rPr>
        <w:t xml:space="preserve">This Policy has been considered and approved by the </w:t>
      </w:r>
      <w:r w:rsidR="00551040" w:rsidRPr="008D7023">
        <w:rPr>
          <w:rFonts w:eastAsiaTheme="minorHAnsi"/>
          <w:b/>
          <w:color w:val="000000" w:themeColor="text1"/>
          <w:sz w:val="22"/>
          <w:szCs w:val="22"/>
          <w:lang w:val="en-GB"/>
        </w:rPr>
        <w:t>COUNCIL OF KZN237</w:t>
      </w:r>
      <w:r w:rsidRPr="008D7023">
        <w:rPr>
          <w:rFonts w:eastAsiaTheme="minorHAnsi"/>
          <w:b/>
          <w:color w:val="000000" w:themeColor="text1"/>
          <w:sz w:val="22"/>
          <w:szCs w:val="22"/>
          <w:lang w:val="en-GB"/>
        </w:rPr>
        <w:t xml:space="preserve"> LOCAL MUNICIPALITY </w:t>
      </w:r>
      <w:r w:rsidRPr="008D7023">
        <w:rPr>
          <w:rFonts w:eastAsiaTheme="minorHAnsi"/>
          <w:color w:val="000000" w:themeColor="text1"/>
          <w:sz w:val="22"/>
          <w:szCs w:val="22"/>
          <w:lang w:val="en-GB"/>
        </w:rPr>
        <w:t>as follows:</w:t>
      </w:r>
    </w:p>
    <w:p w:rsidR="00910603" w:rsidRPr="008D7023" w:rsidRDefault="00910603" w:rsidP="00FE1239">
      <w:pPr>
        <w:pStyle w:val="BodyText"/>
        <w:spacing w:before="120"/>
        <w:ind w:left="720"/>
        <w:rPr>
          <w:rFonts w:eastAsiaTheme="minorHAnsi"/>
          <w:color w:val="000000" w:themeColor="text1"/>
          <w:sz w:val="22"/>
          <w:szCs w:val="22"/>
          <w:lang w:val="en-GB"/>
        </w:rPr>
      </w:pPr>
      <w:r w:rsidRPr="008D7023">
        <w:rPr>
          <w:rFonts w:eastAsiaTheme="minorHAnsi"/>
          <w:color w:val="000000" w:themeColor="text1"/>
          <w:sz w:val="22"/>
          <w:szCs w:val="22"/>
          <w:lang w:val="en-GB"/>
        </w:rPr>
        <w:t>Council Resolution No</w:t>
      </w:r>
      <w:proofErr w:type="gramStart"/>
      <w:r w:rsidRPr="008D7023">
        <w:rPr>
          <w:rFonts w:eastAsiaTheme="minorHAnsi"/>
          <w:color w:val="000000" w:themeColor="text1"/>
          <w:sz w:val="22"/>
          <w:szCs w:val="22"/>
          <w:lang w:val="en-GB"/>
        </w:rPr>
        <w:t>:………………………….</w:t>
      </w:r>
      <w:proofErr w:type="gramEnd"/>
    </w:p>
    <w:p w:rsidR="00910603" w:rsidRPr="008D7023" w:rsidRDefault="00910603" w:rsidP="00FE1239">
      <w:pPr>
        <w:pStyle w:val="BodyText"/>
        <w:spacing w:before="120"/>
        <w:ind w:left="720"/>
        <w:rPr>
          <w:color w:val="000000" w:themeColor="text1"/>
          <w:sz w:val="22"/>
          <w:szCs w:val="22"/>
        </w:rPr>
      </w:pPr>
      <w:r w:rsidRPr="008D7023">
        <w:rPr>
          <w:rFonts w:eastAsiaTheme="minorHAnsi"/>
          <w:color w:val="000000" w:themeColor="text1"/>
          <w:sz w:val="22"/>
          <w:szCs w:val="22"/>
          <w:lang w:val="en-GB"/>
        </w:rPr>
        <w:t>Approval Date</w:t>
      </w:r>
      <w:proofErr w:type="gramStart"/>
      <w:r w:rsidRPr="008D7023">
        <w:rPr>
          <w:rFonts w:eastAsiaTheme="minorHAnsi"/>
          <w:color w:val="000000" w:themeColor="text1"/>
          <w:sz w:val="22"/>
          <w:szCs w:val="22"/>
          <w:lang w:val="en-GB"/>
        </w:rPr>
        <w:t>:................................................</w:t>
      </w:r>
      <w:proofErr w:type="gramEnd"/>
    </w:p>
    <w:p w:rsidR="00910603" w:rsidRPr="008D7023" w:rsidRDefault="00910603" w:rsidP="00FE1239">
      <w:pPr>
        <w:spacing w:line="360" w:lineRule="auto"/>
        <w:ind w:left="709" w:hanging="709"/>
        <w:jc w:val="both"/>
        <w:rPr>
          <w:rFonts w:ascii="Arial" w:hAnsi="Arial" w:cs="Arial"/>
          <w:color w:val="FF0000"/>
        </w:rPr>
      </w:pPr>
    </w:p>
    <w:sectPr w:rsidR="00910603" w:rsidRPr="008D7023" w:rsidSect="00551040">
      <w:headerReference w:type="default" r:id="rId8"/>
      <w:footerReference w:type="default" r:id="rId9"/>
      <w:footerReference w:type="first" r:id="rId10"/>
      <w:pgSz w:w="11906" w:h="16838"/>
      <w:pgMar w:top="1245" w:right="1440" w:bottom="1440" w:left="1440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96" w:rsidRDefault="001C2296" w:rsidP="0084585B">
      <w:pPr>
        <w:spacing w:after="0" w:line="240" w:lineRule="auto"/>
      </w:pPr>
      <w:r>
        <w:separator/>
      </w:r>
    </w:p>
  </w:endnote>
  <w:endnote w:type="continuationSeparator" w:id="0">
    <w:p w:rsidR="001C2296" w:rsidRDefault="001C2296" w:rsidP="008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842"/>
      <w:docPartObj>
        <w:docPartGallery w:val="Page Numbers (Bottom of Page)"/>
        <w:docPartUnique/>
      </w:docPartObj>
    </w:sdtPr>
    <w:sdtEndPr/>
    <w:sdtContent>
      <w:p w:rsidR="00DA6A05" w:rsidRDefault="009B011F" w:rsidP="00DA6A05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585B" w:rsidRDefault="00845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05" w:rsidRDefault="00DA6A05" w:rsidP="00DA6A05">
    <w:pPr>
      <w:pStyle w:val="Footer"/>
      <w:jc w:val="center"/>
    </w:pPr>
  </w:p>
  <w:p w:rsidR="00DA6A05" w:rsidRDefault="00DA6A05" w:rsidP="00DA6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96" w:rsidRDefault="001C2296" w:rsidP="0084585B">
      <w:pPr>
        <w:spacing w:after="0" w:line="240" w:lineRule="auto"/>
      </w:pPr>
      <w:r>
        <w:separator/>
      </w:r>
    </w:p>
  </w:footnote>
  <w:footnote w:type="continuationSeparator" w:id="0">
    <w:p w:rsidR="001C2296" w:rsidRDefault="001C2296" w:rsidP="0084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05" w:rsidRDefault="008D7023" w:rsidP="00DA6A05">
    <w:pPr>
      <w:pStyle w:val="Header"/>
      <w:pBdr>
        <w:bottom w:val="single" w:sz="4" w:space="1" w:color="auto"/>
      </w:pBdr>
      <w:tabs>
        <w:tab w:val="clear" w:pos="9360"/>
        <w:tab w:val="left" w:pos="3472"/>
        <w:tab w:val="right" w:pos="9072"/>
      </w:tabs>
    </w:pPr>
    <w:proofErr w:type="spellStart"/>
    <w:r>
      <w:t>Inkosi</w:t>
    </w:r>
    <w:proofErr w:type="spellEnd"/>
    <w:r>
      <w:t xml:space="preserve"> Langalibalele Local Municipality</w:t>
    </w:r>
    <w:r>
      <w:tab/>
    </w:r>
    <w:r>
      <w:tab/>
    </w:r>
    <w:r w:rsidR="00114873">
      <w:tab/>
    </w:r>
    <w:r w:rsidR="00DA6A05">
      <w:t xml:space="preserve"> Fund</w:t>
    </w:r>
    <w:r w:rsidR="00BB1C6E">
      <w:t>ing</w:t>
    </w:r>
    <w:r w:rsidR="00DA6A05">
      <w:t xml:space="preserve"> and Reserves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2FC"/>
    <w:multiLevelType w:val="multilevel"/>
    <w:tmpl w:val="8C88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11F83"/>
    <w:multiLevelType w:val="multilevel"/>
    <w:tmpl w:val="E564D264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44211"/>
    <w:multiLevelType w:val="hybridMultilevel"/>
    <w:tmpl w:val="9AD6AA00"/>
    <w:lvl w:ilvl="0" w:tplc="2D48A3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38233AA">
      <w:start w:val="1"/>
      <w:numFmt w:val="lowerRoman"/>
      <w:lvlText w:val="(%2)"/>
      <w:lvlJc w:val="left"/>
      <w:pPr>
        <w:ind w:left="2220" w:hanging="78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D6C29"/>
    <w:multiLevelType w:val="multilevel"/>
    <w:tmpl w:val="45AC410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E33828"/>
    <w:multiLevelType w:val="multilevel"/>
    <w:tmpl w:val="4106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356D"/>
    <w:multiLevelType w:val="multilevel"/>
    <w:tmpl w:val="4106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2899"/>
    <w:multiLevelType w:val="multilevel"/>
    <w:tmpl w:val="4106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2AF"/>
    <w:multiLevelType w:val="multilevel"/>
    <w:tmpl w:val="8C88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607A3C"/>
    <w:multiLevelType w:val="hybridMultilevel"/>
    <w:tmpl w:val="62CCA136"/>
    <w:lvl w:ilvl="0" w:tplc="1E4A3F28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C61B0"/>
    <w:multiLevelType w:val="multilevel"/>
    <w:tmpl w:val="CB6EB1D4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35AFC"/>
    <w:multiLevelType w:val="hybridMultilevel"/>
    <w:tmpl w:val="7578E6BA"/>
    <w:lvl w:ilvl="0" w:tplc="38A226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871C2F"/>
    <w:multiLevelType w:val="multilevel"/>
    <w:tmpl w:val="4106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3F85"/>
    <w:multiLevelType w:val="hybridMultilevel"/>
    <w:tmpl w:val="F8BCED5A"/>
    <w:lvl w:ilvl="0" w:tplc="2D48A3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A1261"/>
    <w:multiLevelType w:val="multilevel"/>
    <w:tmpl w:val="CB6EB1D4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128CB"/>
    <w:multiLevelType w:val="hybridMultilevel"/>
    <w:tmpl w:val="F4C01960"/>
    <w:lvl w:ilvl="0" w:tplc="A6FA3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E6DF4"/>
    <w:multiLevelType w:val="hybridMultilevel"/>
    <w:tmpl w:val="6E52AEAE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F5186"/>
    <w:multiLevelType w:val="hybridMultilevel"/>
    <w:tmpl w:val="1B260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A65FF"/>
    <w:multiLevelType w:val="multilevel"/>
    <w:tmpl w:val="8C88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8E3BC5"/>
    <w:multiLevelType w:val="multilevel"/>
    <w:tmpl w:val="3F8A1F82"/>
    <w:lvl w:ilvl="0">
      <w:start w:val="1"/>
      <w:numFmt w:val="lowerLetter"/>
      <w:lvlText w:val="(%1)"/>
      <w:lvlJc w:val="left"/>
      <w:pPr>
        <w:ind w:left="213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108E"/>
    <w:multiLevelType w:val="hybridMultilevel"/>
    <w:tmpl w:val="3F8A1F82"/>
    <w:lvl w:ilvl="0" w:tplc="22768AE0">
      <w:start w:val="1"/>
      <w:numFmt w:val="lowerLetter"/>
      <w:lvlText w:val="(%1)"/>
      <w:lvlJc w:val="left"/>
      <w:pPr>
        <w:ind w:left="213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9486C"/>
    <w:multiLevelType w:val="hybridMultilevel"/>
    <w:tmpl w:val="605AC09C"/>
    <w:lvl w:ilvl="0" w:tplc="376A319A">
      <w:start w:val="1"/>
      <w:numFmt w:val="lowerLetter"/>
      <w:lvlText w:val="(%1)"/>
      <w:lvlJc w:val="left"/>
      <w:pPr>
        <w:ind w:left="1500" w:hanging="780"/>
      </w:pPr>
      <w:rPr>
        <w:rFonts w:hint="default"/>
      </w:rPr>
    </w:lvl>
    <w:lvl w:ilvl="1" w:tplc="FCD87892">
      <w:start w:val="1"/>
      <w:numFmt w:val="lowerRoman"/>
      <w:lvlText w:val="(%2)"/>
      <w:lvlJc w:val="left"/>
      <w:pPr>
        <w:ind w:left="228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BB62BD"/>
    <w:multiLevelType w:val="hybridMultilevel"/>
    <w:tmpl w:val="11E4B5E8"/>
    <w:lvl w:ilvl="0" w:tplc="22768A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9021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9F46D1"/>
    <w:multiLevelType w:val="multilevel"/>
    <w:tmpl w:val="45AC410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7107AF"/>
    <w:multiLevelType w:val="multilevel"/>
    <w:tmpl w:val="E564D264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41252"/>
    <w:multiLevelType w:val="multilevel"/>
    <w:tmpl w:val="4106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E3DDF"/>
    <w:multiLevelType w:val="hybridMultilevel"/>
    <w:tmpl w:val="CB6EB1D4"/>
    <w:lvl w:ilvl="0" w:tplc="22768A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5141F"/>
    <w:multiLevelType w:val="multilevel"/>
    <w:tmpl w:val="E564D264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F7772"/>
    <w:multiLevelType w:val="multilevel"/>
    <w:tmpl w:val="FED4B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CE4078"/>
    <w:multiLevelType w:val="hybridMultilevel"/>
    <w:tmpl w:val="E564D264"/>
    <w:lvl w:ilvl="0" w:tplc="22768A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4E4AD7"/>
    <w:multiLevelType w:val="hybridMultilevel"/>
    <w:tmpl w:val="B39022DE"/>
    <w:lvl w:ilvl="0" w:tplc="8280F3C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CC1C4E"/>
    <w:multiLevelType w:val="hybridMultilevel"/>
    <w:tmpl w:val="42ECE942"/>
    <w:lvl w:ilvl="0" w:tplc="6388AD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3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25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31"/>
  </w:num>
  <w:num w:numId="16">
    <w:abstractNumId w:val="2"/>
  </w:num>
  <w:num w:numId="17">
    <w:abstractNumId w:val="12"/>
  </w:num>
  <w:num w:numId="18">
    <w:abstractNumId w:val="20"/>
  </w:num>
  <w:num w:numId="19">
    <w:abstractNumId w:val="19"/>
  </w:num>
  <w:num w:numId="20">
    <w:abstractNumId w:val="26"/>
  </w:num>
  <w:num w:numId="21">
    <w:abstractNumId w:val="13"/>
  </w:num>
  <w:num w:numId="22">
    <w:abstractNumId w:val="18"/>
  </w:num>
  <w:num w:numId="23">
    <w:abstractNumId w:val="9"/>
  </w:num>
  <w:num w:numId="24">
    <w:abstractNumId w:val="29"/>
  </w:num>
  <w:num w:numId="25">
    <w:abstractNumId w:val="24"/>
  </w:num>
  <w:num w:numId="26">
    <w:abstractNumId w:val="27"/>
  </w:num>
  <w:num w:numId="27">
    <w:abstractNumId w:val="1"/>
  </w:num>
  <w:num w:numId="28">
    <w:abstractNumId w:val="21"/>
  </w:num>
  <w:num w:numId="29">
    <w:abstractNumId w:val="22"/>
  </w:num>
  <w:num w:numId="30">
    <w:abstractNumId w:val="28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32"/>
    <w:rsid w:val="00000732"/>
    <w:rsid w:val="00025AB3"/>
    <w:rsid w:val="000332E7"/>
    <w:rsid w:val="0005646E"/>
    <w:rsid w:val="00086C45"/>
    <w:rsid w:val="000A6B51"/>
    <w:rsid w:val="000E1FD5"/>
    <w:rsid w:val="000F6458"/>
    <w:rsid w:val="00114873"/>
    <w:rsid w:val="00152508"/>
    <w:rsid w:val="00182AD6"/>
    <w:rsid w:val="001A08CD"/>
    <w:rsid w:val="001C2296"/>
    <w:rsid w:val="001D1A76"/>
    <w:rsid w:val="001F3F94"/>
    <w:rsid w:val="00241065"/>
    <w:rsid w:val="00274967"/>
    <w:rsid w:val="002E0ADB"/>
    <w:rsid w:val="002F29B0"/>
    <w:rsid w:val="003104DB"/>
    <w:rsid w:val="0031769B"/>
    <w:rsid w:val="00347362"/>
    <w:rsid w:val="00390226"/>
    <w:rsid w:val="00392199"/>
    <w:rsid w:val="003A6E86"/>
    <w:rsid w:val="003C70A8"/>
    <w:rsid w:val="003E7E47"/>
    <w:rsid w:val="00400D2F"/>
    <w:rsid w:val="004131C2"/>
    <w:rsid w:val="004242A1"/>
    <w:rsid w:val="004348E9"/>
    <w:rsid w:val="00461C93"/>
    <w:rsid w:val="00462924"/>
    <w:rsid w:val="0046756D"/>
    <w:rsid w:val="004A0971"/>
    <w:rsid w:val="004A3A17"/>
    <w:rsid w:val="004A7E52"/>
    <w:rsid w:val="004B0B07"/>
    <w:rsid w:val="004C2738"/>
    <w:rsid w:val="004C48FB"/>
    <w:rsid w:val="004D461E"/>
    <w:rsid w:val="004E343D"/>
    <w:rsid w:val="00504D73"/>
    <w:rsid w:val="00543372"/>
    <w:rsid w:val="00551040"/>
    <w:rsid w:val="005D1D1C"/>
    <w:rsid w:val="00603BA9"/>
    <w:rsid w:val="006817CE"/>
    <w:rsid w:val="006B0AB4"/>
    <w:rsid w:val="006E3FC1"/>
    <w:rsid w:val="006F7BBB"/>
    <w:rsid w:val="0075138F"/>
    <w:rsid w:val="00766779"/>
    <w:rsid w:val="0078109A"/>
    <w:rsid w:val="007F33EA"/>
    <w:rsid w:val="00803091"/>
    <w:rsid w:val="0084522F"/>
    <w:rsid w:val="0084585B"/>
    <w:rsid w:val="008904D1"/>
    <w:rsid w:val="008B180D"/>
    <w:rsid w:val="008B50EF"/>
    <w:rsid w:val="008C0124"/>
    <w:rsid w:val="008D7023"/>
    <w:rsid w:val="008F74B9"/>
    <w:rsid w:val="00910603"/>
    <w:rsid w:val="009221D8"/>
    <w:rsid w:val="00960CC7"/>
    <w:rsid w:val="009A0AAE"/>
    <w:rsid w:val="009B011F"/>
    <w:rsid w:val="009B2164"/>
    <w:rsid w:val="009E438F"/>
    <w:rsid w:val="00A23D59"/>
    <w:rsid w:val="00A256BF"/>
    <w:rsid w:val="00A4056A"/>
    <w:rsid w:val="00A472B4"/>
    <w:rsid w:val="00A50F51"/>
    <w:rsid w:val="00A6063B"/>
    <w:rsid w:val="00A62742"/>
    <w:rsid w:val="00A80A33"/>
    <w:rsid w:val="00AB27A4"/>
    <w:rsid w:val="00AC1199"/>
    <w:rsid w:val="00AF7B7D"/>
    <w:rsid w:val="00B039A6"/>
    <w:rsid w:val="00B5433F"/>
    <w:rsid w:val="00BA75BB"/>
    <w:rsid w:val="00BB1C6E"/>
    <w:rsid w:val="00BD41BD"/>
    <w:rsid w:val="00BF0CA2"/>
    <w:rsid w:val="00BF7A5C"/>
    <w:rsid w:val="00C67AD2"/>
    <w:rsid w:val="00C8276B"/>
    <w:rsid w:val="00C927A5"/>
    <w:rsid w:val="00CA22E7"/>
    <w:rsid w:val="00CB3892"/>
    <w:rsid w:val="00CC46D6"/>
    <w:rsid w:val="00CD4376"/>
    <w:rsid w:val="00CD5B60"/>
    <w:rsid w:val="00CE47F8"/>
    <w:rsid w:val="00D76F72"/>
    <w:rsid w:val="00DA6A05"/>
    <w:rsid w:val="00DB420F"/>
    <w:rsid w:val="00DC4E58"/>
    <w:rsid w:val="00DC6DB4"/>
    <w:rsid w:val="00E44D33"/>
    <w:rsid w:val="00E55D11"/>
    <w:rsid w:val="00E7049A"/>
    <w:rsid w:val="00E95A1B"/>
    <w:rsid w:val="00EA7D6F"/>
    <w:rsid w:val="00EE2A0E"/>
    <w:rsid w:val="00F03FF3"/>
    <w:rsid w:val="00F14371"/>
    <w:rsid w:val="00F146EA"/>
    <w:rsid w:val="00F16430"/>
    <w:rsid w:val="00F20071"/>
    <w:rsid w:val="00F41FC4"/>
    <w:rsid w:val="00F85EA1"/>
    <w:rsid w:val="00FE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DD8A0-B76A-4CB4-9C98-E5C1D22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73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073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5B"/>
  </w:style>
  <w:style w:type="paragraph" w:styleId="Footer">
    <w:name w:val="footer"/>
    <w:basedOn w:val="Normal"/>
    <w:link w:val="FooterChar"/>
    <w:uiPriority w:val="99"/>
    <w:unhideWhenUsed/>
    <w:rsid w:val="0084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5B"/>
  </w:style>
  <w:style w:type="paragraph" w:styleId="BodyText">
    <w:name w:val="Body Text"/>
    <w:basedOn w:val="Normal"/>
    <w:link w:val="BodyTextChar"/>
    <w:rsid w:val="0091060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10603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Imbabazane Local Municipality</vt:lpstr>
    </vt:vector>
  </TitlesOfParts>
  <Company/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Imbabazane Local Municipality</dc:title>
  <dc:creator>FUNDING AND RESERVE POLICY 2013/14</dc:creator>
  <cp:lastModifiedBy>Sbusiso Radebe</cp:lastModifiedBy>
  <cp:revision>9</cp:revision>
  <cp:lastPrinted>2016-11-16T05:58:00Z</cp:lastPrinted>
  <dcterms:created xsi:type="dcterms:W3CDTF">2016-03-02T14:32:00Z</dcterms:created>
  <dcterms:modified xsi:type="dcterms:W3CDTF">2019-02-28T13:33:00Z</dcterms:modified>
</cp:coreProperties>
</file>